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94F2D8">
      <w:pPr>
        <w:spacing w:line="360" w:lineRule="auto"/>
        <w:rPr>
          <w:rFonts w:ascii="Times New Roman" w:hAnsi="Times New Roman"/>
          <w:sz w:val="24"/>
        </w:rPr>
      </w:pPr>
    </w:p>
    <w:p w14:paraId="6378121D">
      <w:pPr>
        <w:spacing w:line="360" w:lineRule="auto"/>
        <w:jc w:val="center"/>
        <w:rPr>
          <w:rFonts w:ascii="Times New Roman" w:hAnsi="Times New Roman"/>
          <w:b/>
          <w:bCs/>
          <w:sz w:val="24"/>
        </w:rPr>
      </w:pPr>
    </w:p>
    <w:p w14:paraId="2B246DD5">
      <w:pPr>
        <w:spacing w:line="360" w:lineRule="auto"/>
        <w:jc w:val="center"/>
        <w:rPr>
          <w:rFonts w:ascii="Times New Roman" w:hAnsi="Times New Roman"/>
          <w:b/>
          <w:bCs/>
          <w:sz w:val="24"/>
        </w:rPr>
      </w:pPr>
    </w:p>
    <w:p w14:paraId="7AC2DBE1">
      <w:pPr>
        <w:spacing w:line="360" w:lineRule="auto"/>
        <w:jc w:val="center"/>
        <w:rPr>
          <w:rFonts w:ascii="Times New Roman" w:hAnsi="Times New Roman"/>
          <w:b/>
          <w:bCs/>
          <w:sz w:val="24"/>
        </w:rPr>
      </w:pPr>
    </w:p>
    <w:p w14:paraId="0EF52ABD">
      <w:pPr>
        <w:spacing w:line="360" w:lineRule="auto"/>
        <w:jc w:val="center"/>
        <w:rPr>
          <w:rFonts w:ascii="Times New Roman" w:hAnsi="Times New Roman"/>
          <w:b/>
          <w:bCs/>
          <w:sz w:val="24"/>
        </w:rPr>
      </w:pPr>
    </w:p>
    <w:p w14:paraId="4ABCE579">
      <w:pPr>
        <w:spacing w:line="360" w:lineRule="auto"/>
        <w:jc w:val="center"/>
        <w:rPr>
          <w:rFonts w:ascii="Times New Roman" w:hAnsi="Times New Roman"/>
          <w:b/>
          <w:bCs/>
          <w:sz w:val="24"/>
        </w:rPr>
      </w:pPr>
    </w:p>
    <w:p w14:paraId="629130D0">
      <w:pPr>
        <w:keepNext w:val="0"/>
        <w:keepLines w:val="0"/>
        <w:pageBreakBefore w:val="0"/>
        <w:widowControl w:val="0"/>
        <w:kinsoku/>
        <w:wordWrap/>
        <w:overflowPunct/>
        <w:topLinePunct w:val="0"/>
        <w:autoSpaceDE/>
        <w:autoSpaceDN/>
        <w:bidi w:val="0"/>
        <w:adjustRightInd/>
        <w:snapToGrid/>
        <w:spacing w:line="360" w:lineRule="auto"/>
        <w:ind w:left="630" w:leftChars="300" w:right="630" w:rightChars="300"/>
        <w:jc w:val="distribute"/>
        <w:textAlignment w:val="auto"/>
        <w:rPr>
          <w:rFonts w:hint="eastAsia" w:ascii="黑体" w:hAnsi="黑体" w:eastAsia="黑体" w:cs="黑体"/>
          <w:b w:val="0"/>
          <w:bCs w:val="0"/>
          <w:sz w:val="52"/>
          <w:szCs w:val="52"/>
          <w:lang w:val="en-US" w:eastAsia="zh-CN"/>
        </w:rPr>
      </w:pPr>
      <w:r>
        <w:rPr>
          <w:rFonts w:hint="eastAsia" w:ascii="黑体" w:hAnsi="黑体" w:eastAsia="黑体" w:cs="黑体"/>
          <w:b w:val="0"/>
          <w:bCs w:val="0"/>
          <w:sz w:val="52"/>
          <w:szCs w:val="52"/>
          <w:lang w:val="en-US" w:eastAsia="zh-CN"/>
        </w:rPr>
        <w:t>江苏省地方标准</w:t>
      </w:r>
    </w:p>
    <w:p w14:paraId="279D5525">
      <w:pPr>
        <w:spacing w:line="360" w:lineRule="auto"/>
        <w:jc w:val="center"/>
        <w:rPr>
          <w:rFonts w:hint="eastAsia" w:ascii="黑体" w:hAnsi="黑体" w:eastAsia="黑体" w:cs="黑体"/>
          <w:b w:val="0"/>
          <w:bCs w:val="0"/>
          <w:sz w:val="48"/>
          <w:szCs w:val="48"/>
          <w:lang w:val="en-US" w:eastAsia="zh-CN"/>
        </w:rPr>
      </w:pPr>
      <w:bookmarkStart w:id="0" w:name="SectionMark4"/>
    </w:p>
    <w:p w14:paraId="0F95B6EA">
      <w:pPr>
        <w:spacing w:line="360" w:lineRule="auto"/>
        <w:jc w:val="center"/>
        <w:rPr>
          <w:rFonts w:hint="eastAsia" w:ascii="黑体" w:hAnsi="黑体" w:eastAsia="黑体" w:cs="黑体"/>
          <w:b w:val="0"/>
          <w:bCs w:val="0"/>
          <w:sz w:val="48"/>
          <w:szCs w:val="48"/>
          <w:lang w:eastAsia="zh-CN"/>
        </w:rPr>
      </w:pPr>
      <w:r>
        <w:rPr>
          <w:rFonts w:hint="eastAsia" w:ascii="黑体" w:hAnsi="黑体" w:eastAsia="黑体" w:cs="黑体"/>
          <w:b w:val="0"/>
          <w:bCs w:val="0"/>
          <w:sz w:val="48"/>
          <w:szCs w:val="48"/>
          <w:lang w:val="en-US" w:eastAsia="zh-CN"/>
        </w:rPr>
        <w:t>《切花杜鹃生产</w:t>
      </w:r>
      <w:r>
        <w:rPr>
          <w:rFonts w:hint="eastAsia" w:ascii="黑体" w:hAnsi="黑体" w:eastAsia="黑体" w:cs="黑体"/>
          <w:b w:val="0"/>
          <w:bCs w:val="0"/>
          <w:sz w:val="48"/>
          <w:szCs w:val="48"/>
        </w:rPr>
        <w:t>技术规程</w:t>
      </w:r>
      <w:bookmarkEnd w:id="0"/>
      <w:r>
        <w:rPr>
          <w:rFonts w:hint="eastAsia" w:ascii="黑体" w:hAnsi="黑体" w:eastAsia="黑体" w:cs="黑体"/>
          <w:b w:val="0"/>
          <w:bCs w:val="0"/>
          <w:sz w:val="48"/>
          <w:szCs w:val="48"/>
          <w:lang w:eastAsia="zh-CN"/>
        </w:rPr>
        <w:t>》</w:t>
      </w:r>
    </w:p>
    <w:p w14:paraId="50DD154E">
      <w:pPr>
        <w:spacing w:line="360" w:lineRule="auto"/>
        <w:jc w:val="center"/>
        <w:rPr>
          <w:rFonts w:hint="eastAsia" w:ascii="黑体" w:hAnsi="黑体" w:eastAsia="黑体" w:cs="黑体"/>
          <w:b w:val="0"/>
          <w:bCs w:val="0"/>
          <w:sz w:val="48"/>
          <w:szCs w:val="48"/>
          <w:lang w:eastAsia="zh-CN"/>
        </w:rPr>
      </w:pPr>
    </w:p>
    <w:p w14:paraId="27FF4F06">
      <w:pPr>
        <w:spacing w:line="360" w:lineRule="auto"/>
        <w:jc w:val="center"/>
        <w:rPr>
          <w:rFonts w:hint="eastAsia" w:ascii="黑体" w:hAnsi="黑体" w:eastAsia="黑体" w:cs="黑体"/>
          <w:b/>
          <w:bCs/>
          <w:sz w:val="48"/>
          <w:szCs w:val="48"/>
        </w:rPr>
      </w:pPr>
      <w:r>
        <w:rPr>
          <w:rFonts w:hint="eastAsia" w:ascii="黑体" w:hAnsi="黑体" w:eastAsia="黑体" w:cs="黑体"/>
          <w:b w:val="0"/>
          <w:bCs w:val="0"/>
          <w:sz w:val="48"/>
          <w:szCs w:val="48"/>
        </w:rPr>
        <w:t>编 制 说 明</w:t>
      </w:r>
    </w:p>
    <w:p w14:paraId="74FC6723">
      <w:pPr>
        <w:spacing w:line="360" w:lineRule="auto"/>
        <w:jc w:val="center"/>
        <w:rPr>
          <w:rFonts w:hint="eastAsia" w:ascii="黑体" w:hAnsi="黑体" w:eastAsia="黑体" w:cs="黑体"/>
          <w:sz w:val="24"/>
        </w:rPr>
      </w:pPr>
    </w:p>
    <w:p w14:paraId="79684A44">
      <w:pPr>
        <w:spacing w:line="360" w:lineRule="auto"/>
        <w:rPr>
          <w:rFonts w:hint="eastAsia" w:ascii="黑体" w:hAnsi="黑体" w:eastAsia="黑体" w:cs="黑体"/>
          <w:sz w:val="24"/>
        </w:rPr>
      </w:pPr>
    </w:p>
    <w:p w14:paraId="2A6C7528">
      <w:pPr>
        <w:spacing w:line="360" w:lineRule="auto"/>
        <w:ind w:firstLine="960" w:firstLineChars="400"/>
        <w:rPr>
          <w:rFonts w:hint="eastAsia" w:ascii="黑体" w:hAnsi="黑体" w:eastAsia="黑体" w:cs="黑体"/>
          <w:sz w:val="24"/>
        </w:rPr>
      </w:pPr>
    </w:p>
    <w:p w14:paraId="6439DCB7">
      <w:pPr>
        <w:spacing w:line="360" w:lineRule="auto"/>
        <w:ind w:firstLine="960" w:firstLineChars="400"/>
        <w:rPr>
          <w:rFonts w:hint="eastAsia" w:ascii="黑体" w:hAnsi="黑体" w:eastAsia="黑体" w:cs="黑体"/>
          <w:sz w:val="24"/>
        </w:rPr>
      </w:pPr>
    </w:p>
    <w:p w14:paraId="2C27C766">
      <w:pPr>
        <w:spacing w:line="360" w:lineRule="auto"/>
        <w:ind w:firstLine="960" w:firstLineChars="400"/>
        <w:rPr>
          <w:rFonts w:hint="eastAsia" w:ascii="黑体" w:hAnsi="黑体" w:eastAsia="黑体" w:cs="黑体"/>
          <w:sz w:val="24"/>
        </w:rPr>
      </w:pPr>
    </w:p>
    <w:p w14:paraId="259915AE">
      <w:pPr>
        <w:spacing w:line="360" w:lineRule="auto"/>
        <w:ind w:firstLine="960" w:firstLineChars="400"/>
        <w:rPr>
          <w:rFonts w:hint="eastAsia" w:ascii="黑体" w:hAnsi="黑体" w:eastAsia="黑体" w:cs="黑体"/>
          <w:sz w:val="24"/>
        </w:rPr>
      </w:pPr>
    </w:p>
    <w:p w14:paraId="52AF31F2">
      <w:pPr>
        <w:spacing w:line="360" w:lineRule="auto"/>
        <w:ind w:firstLine="960" w:firstLineChars="400"/>
        <w:rPr>
          <w:rFonts w:hint="eastAsia" w:ascii="黑体" w:hAnsi="黑体" w:eastAsia="黑体" w:cs="黑体"/>
          <w:sz w:val="24"/>
        </w:rPr>
      </w:pPr>
    </w:p>
    <w:p w14:paraId="17FCD7AF">
      <w:pPr>
        <w:spacing w:line="360" w:lineRule="auto"/>
        <w:ind w:firstLine="1280" w:firstLineChars="400"/>
        <w:rPr>
          <w:rFonts w:hint="eastAsia" w:ascii="黑体" w:hAnsi="黑体" w:eastAsia="黑体" w:cs="黑体"/>
          <w:sz w:val="32"/>
          <w:szCs w:val="32"/>
        </w:rPr>
      </w:pPr>
    </w:p>
    <w:p w14:paraId="644246CF">
      <w:pPr>
        <w:spacing w:line="360" w:lineRule="auto"/>
        <w:ind w:firstLine="1280" w:firstLineChars="400"/>
        <w:rPr>
          <w:rFonts w:hint="eastAsia" w:ascii="黑体" w:hAnsi="黑体" w:eastAsia="黑体" w:cs="黑体"/>
          <w:sz w:val="32"/>
          <w:szCs w:val="32"/>
        </w:rPr>
      </w:pPr>
    </w:p>
    <w:p w14:paraId="47DCECD6">
      <w:pPr>
        <w:spacing w:line="360" w:lineRule="auto"/>
        <w:ind w:firstLine="1280" w:firstLineChars="400"/>
        <w:rPr>
          <w:rFonts w:hint="eastAsia" w:ascii="黑体" w:hAnsi="黑体" w:eastAsia="黑体" w:cs="黑体"/>
          <w:sz w:val="32"/>
          <w:szCs w:val="32"/>
        </w:rPr>
      </w:pPr>
    </w:p>
    <w:p w14:paraId="25DD5D3B">
      <w:pPr>
        <w:spacing w:line="360" w:lineRule="auto"/>
        <w:ind w:firstLine="1280" w:firstLineChars="400"/>
        <w:rPr>
          <w:rFonts w:hint="eastAsia" w:ascii="黑体" w:hAnsi="黑体" w:eastAsia="黑体" w:cs="黑体"/>
          <w:sz w:val="32"/>
          <w:szCs w:val="32"/>
        </w:rPr>
      </w:pPr>
    </w:p>
    <w:p w14:paraId="56B8E74B">
      <w:pPr>
        <w:spacing w:line="360" w:lineRule="auto"/>
        <w:ind w:firstLine="1280" w:firstLineChars="400"/>
        <w:rPr>
          <w:rFonts w:hint="eastAsia" w:ascii="黑体" w:hAnsi="黑体" w:eastAsia="黑体" w:cs="黑体"/>
          <w:sz w:val="32"/>
          <w:szCs w:val="32"/>
        </w:rPr>
      </w:pPr>
    </w:p>
    <w:p w14:paraId="258EB8A5">
      <w:pPr>
        <w:spacing w:line="360" w:lineRule="auto"/>
        <w:jc w:val="center"/>
        <w:rPr>
          <w:rFonts w:hint="eastAsia" w:ascii="黑体" w:hAnsi="黑体" w:eastAsia="黑体" w:cs="黑体"/>
          <w:sz w:val="32"/>
          <w:szCs w:val="32"/>
        </w:rPr>
      </w:pPr>
      <w:r>
        <w:rPr>
          <w:rFonts w:hint="eastAsia" w:ascii="黑体" w:hAnsi="黑体" w:eastAsia="黑体" w:cs="黑体"/>
          <w:sz w:val="32"/>
          <w:szCs w:val="32"/>
          <w:lang w:val="en-US" w:eastAsia="zh-CN"/>
        </w:rPr>
        <w:t>南京林业大学</w:t>
      </w:r>
    </w:p>
    <w:p w14:paraId="1547BF35">
      <w:pPr>
        <w:jc w:val="center"/>
        <w:rPr>
          <w:rFonts w:hint="eastAsia" w:ascii="黑体" w:hAnsi="黑体" w:eastAsia="黑体" w:cs="黑体"/>
          <w:sz w:val="32"/>
          <w:szCs w:val="32"/>
        </w:rPr>
      </w:pPr>
      <w:r>
        <w:rPr>
          <w:rFonts w:hint="eastAsia" w:ascii="黑体" w:hAnsi="黑体" w:eastAsia="黑体" w:cs="黑体"/>
          <w:sz w:val="32"/>
          <w:szCs w:val="32"/>
          <w:lang w:val="en-US" w:eastAsia="zh-CN"/>
        </w:rPr>
        <w:t xml:space="preserve">二〇二四 </w:t>
      </w:r>
      <w:r>
        <w:rPr>
          <w:rFonts w:hint="eastAsia" w:ascii="黑体" w:hAnsi="黑体" w:eastAsia="黑体" w:cs="黑体"/>
          <w:sz w:val="32"/>
          <w:szCs w:val="32"/>
        </w:rPr>
        <w:t>年</w:t>
      </w:r>
      <w:r>
        <w:rPr>
          <w:rFonts w:hint="eastAsia" w:ascii="黑体" w:hAnsi="黑体" w:eastAsia="黑体" w:cs="黑体"/>
          <w:sz w:val="32"/>
          <w:szCs w:val="32"/>
          <w:lang w:val="en-US" w:eastAsia="zh-CN"/>
        </w:rPr>
        <w:t xml:space="preserve"> 九 </w:t>
      </w:r>
      <w:r>
        <w:rPr>
          <w:rFonts w:hint="eastAsia" w:ascii="黑体" w:hAnsi="黑体" w:eastAsia="黑体" w:cs="黑体"/>
          <w:sz w:val="32"/>
          <w:szCs w:val="32"/>
        </w:rPr>
        <w:t>月</w:t>
      </w:r>
    </w:p>
    <w:p w14:paraId="754E7CE2">
      <w:pPr>
        <w:spacing w:line="360" w:lineRule="auto"/>
        <w:jc w:val="left"/>
        <w:outlineLvl w:val="0"/>
        <w:rPr>
          <w:rFonts w:hint="eastAsia" w:ascii="黑体" w:hAnsi="黑体" w:eastAsia="黑体" w:cs="黑体"/>
          <w:b w:val="0"/>
          <w:bCs/>
          <w:sz w:val="24"/>
          <w:szCs w:val="24"/>
        </w:rPr>
        <w:sectPr>
          <w:pgSz w:w="11906" w:h="16838"/>
          <w:pgMar w:top="1440" w:right="1701" w:bottom="1440" w:left="1701" w:header="851" w:footer="992" w:gutter="0"/>
          <w:pgBorders>
            <w:top w:val="none" w:sz="0" w:space="0"/>
            <w:left w:val="none" w:sz="0" w:space="0"/>
            <w:bottom w:val="none" w:sz="0" w:space="0"/>
            <w:right w:val="none" w:sz="0" w:space="0"/>
          </w:pgBorders>
          <w:pgNumType w:fmt="decimal" w:start="1"/>
          <w:cols w:space="720" w:num="1"/>
          <w:rtlGutter w:val="0"/>
          <w:docGrid w:type="lines" w:linePitch="312" w:charSpace="0"/>
        </w:sectPr>
      </w:pPr>
    </w:p>
    <w:p w14:paraId="59517F75">
      <w:pPr>
        <w:spacing w:line="360" w:lineRule="auto"/>
        <w:jc w:val="left"/>
        <w:outlineLvl w:val="0"/>
        <w:rPr>
          <w:rFonts w:hint="default" w:ascii="黑体" w:hAnsi="黑体" w:eastAsia="黑体" w:cs="黑体"/>
          <w:b w:val="0"/>
          <w:bCs/>
          <w:sz w:val="24"/>
          <w:szCs w:val="24"/>
          <w:lang w:val="en-US" w:eastAsia="zh-CN"/>
        </w:rPr>
      </w:pPr>
      <w:r>
        <w:rPr>
          <w:rFonts w:hint="eastAsia" w:ascii="黑体" w:hAnsi="黑体" w:eastAsia="黑体" w:cs="黑体"/>
          <w:b w:val="0"/>
          <w:bCs/>
          <w:sz w:val="24"/>
          <w:szCs w:val="24"/>
        </w:rPr>
        <w:t>一、</w:t>
      </w:r>
      <w:r>
        <w:rPr>
          <w:rFonts w:hint="eastAsia" w:ascii="黑体" w:hAnsi="黑体" w:eastAsia="黑体" w:cs="黑体"/>
          <w:b w:val="0"/>
          <w:bCs/>
          <w:sz w:val="24"/>
          <w:szCs w:val="24"/>
          <w:lang w:val="en-US" w:eastAsia="zh-CN"/>
        </w:rPr>
        <w:t>目的和意义</w:t>
      </w:r>
    </w:p>
    <w:p w14:paraId="7A756C4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outlineLvl w:val="1"/>
        <w:rPr>
          <w:rFonts w:hint="eastAsia" w:ascii="黑体" w:hAnsi="黑体" w:eastAsia="黑体" w:cs="黑体"/>
          <w:color w:val="auto"/>
          <w:kern w:val="0"/>
          <w:sz w:val="24"/>
          <w:szCs w:val="24"/>
          <w:lang w:val="en-US" w:eastAsia="zh-CN" w:bidi="ar"/>
        </w:rPr>
      </w:pPr>
      <w:r>
        <w:rPr>
          <w:rFonts w:hint="eastAsia" w:ascii="黑体" w:hAnsi="黑体" w:eastAsia="黑体" w:cs="黑体"/>
          <w:color w:val="auto"/>
          <w:kern w:val="0"/>
          <w:sz w:val="24"/>
          <w:szCs w:val="24"/>
          <w:lang w:val="en-US" w:eastAsia="zh-CN" w:bidi="ar"/>
        </w:rPr>
        <w:t>1、起草标准的必要性</w:t>
      </w:r>
    </w:p>
    <w:p w14:paraId="30FAB66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 </w:t>
      </w:r>
      <w:r>
        <w:rPr>
          <w:rFonts w:hint="default" w:ascii="Times New Roman" w:hAnsi="Times New Roman" w:eastAsia="宋体" w:cs="Times New Roman"/>
          <w:color w:val="auto"/>
          <w:kern w:val="0"/>
          <w:sz w:val="24"/>
          <w:szCs w:val="24"/>
          <w:lang w:val="en-US" w:eastAsia="zh-CN" w:bidi="ar"/>
        </w:rPr>
        <w:t>我国是花卉生产</w:t>
      </w:r>
      <w:r>
        <w:rPr>
          <w:rFonts w:hint="eastAsia" w:cs="Times New Roman"/>
          <w:color w:val="auto"/>
          <w:kern w:val="0"/>
          <w:sz w:val="24"/>
          <w:szCs w:val="24"/>
          <w:lang w:val="en-US" w:eastAsia="zh-CN" w:bidi="ar"/>
        </w:rPr>
        <w:t>与消费</w:t>
      </w:r>
      <w:r>
        <w:rPr>
          <w:rFonts w:hint="default" w:ascii="Times New Roman" w:hAnsi="Times New Roman" w:eastAsia="宋体" w:cs="Times New Roman"/>
          <w:color w:val="auto"/>
          <w:kern w:val="0"/>
          <w:sz w:val="24"/>
          <w:szCs w:val="24"/>
          <w:lang w:val="en-US" w:eastAsia="zh-CN" w:bidi="ar"/>
        </w:rPr>
        <w:t>大国，</w:t>
      </w:r>
      <w:r>
        <w:rPr>
          <w:rFonts w:hint="eastAsia" w:ascii="宋体" w:hAnsi="宋体" w:eastAsia="宋体" w:cs="宋体"/>
          <w:color w:val="auto"/>
          <w:kern w:val="0"/>
          <w:sz w:val="24"/>
          <w:szCs w:val="24"/>
          <w:lang w:val="en-US" w:eastAsia="zh-CN" w:bidi="ar"/>
        </w:rPr>
        <w:t>内需市场</w:t>
      </w:r>
      <w:r>
        <w:rPr>
          <w:rFonts w:hint="eastAsia" w:cs="Times New Roman"/>
          <w:color w:val="auto"/>
          <w:kern w:val="0"/>
          <w:sz w:val="24"/>
          <w:szCs w:val="24"/>
          <w:lang w:val="en-US" w:eastAsia="zh-CN" w:bidi="ar"/>
        </w:rPr>
        <w:t>强劲</w:t>
      </w:r>
      <w:r>
        <w:rPr>
          <w:rFonts w:hint="eastAsia" w:ascii="宋体" w:hAnsi="宋体" w:eastAsia="宋体" w:cs="宋体"/>
          <w:color w:val="auto"/>
          <w:kern w:val="0"/>
          <w:sz w:val="24"/>
          <w:szCs w:val="24"/>
          <w:lang w:val="en-US" w:eastAsia="zh-CN" w:bidi="ar"/>
        </w:rPr>
        <w:t>。</w:t>
      </w:r>
      <w:r>
        <w:rPr>
          <w:rFonts w:hint="default" w:ascii="Times New Roman" w:hAnsi="Times New Roman" w:eastAsia="宋体" w:cs="Times New Roman"/>
          <w:color w:val="auto"/>
          <w:kern w:val="0"/>
          <w:sz w:val="24"/>
          <w:szCs w:val="24"/>
          <w:lang w:val="en-US" w:eastAsia="zh-CN" w:bidi="ar"/>
        </w:rPr>
        <w:t>据中国花卉协会</w:t>
      </w:r>
      <w:r>
        <w:rPr>
          <w:rFonts w:hint="eastAsia" w:cs="Times New Roman"/>
          <w:color w:val="auto"/>
          <w:kern w:val="0"/>
          <w:sz w:val="24"/>
          <w:szCs w:val="24"/>
          <w:lang w:val="en-US" w:eastAsia="zh-CN" w:bidi="ar"/>
        </w:rPr>
        <w:t>权威</w:t>
      </w:r>
      <w:r>
        <w:rPr>
          <w:rFonts w:hint="default" w:ascii="Times New Roman" w:hAnsi="Times New Roman" w:eastAsia="宋体" w:cs="Times New Roman"/>
          <w:color w:val="auto"/>
          <w:kern w:val="0"/>
          <w:sz w:val="24"/>
          <w:szCs w:val="24"/>
          <w:lang w:val="en-US" w:eastAsia="zh-CN" w:bidi="ar"/>
        </w:rPr>
        <w:t>发布的《202</w:t>
      </w:r>
      <w:r>
        <w:rPr>
          <w:rFonts w:hint="eastAsia" w:ascii="Times New Roman" w:hAnsi="Times New Roman" w:eastAsia="宋体" w:cs="Times New Roman"/>
          <w:color w:val="auto"/>
          <w:kern w:val="0"/>
          <w:sz w:val="24"/>
          <w:szCs w:val="24"/>
          <w:lang w:val="en-US" w:eastAsia="zh-CN" w:bidi="ar"/>
        </w:rPr>
        <w:t>4</w:t>
      </w:r>
      <w:r>
        <w:rPr>
          <w:rFonts w:hint="default" w:ascii="Times New Roman" w:hAnsi="Times New Roman" w:eastAsia="宋体" w:cs="Times New Roman"/>
          <w:color w:val="auto"/>
          <w:kern w:val="0"/>
          <w:sz w:val="24"/>
          <w:szCs w:val="24"/>
          <w:lang w:val="en-US" w:eastAsia="zh-CN" w:bidi="ar"/>
        </w:rPr>
        <w:t>全国花卉产销形势分析报告》，202</w:t>
      </w:r>
      <w:r>
        <w:rPr>
          <w:rFonts w:hint="eastAsia" w:ascii="Times New Roman" w:hAnsi="Times New Roman" w:eastAsia="宋体" w:cs="Times New Roman"/>
          <w:color w:val="auto"/>
          <w:kern w:val="0"/>
          <w:sz w:val="24"/>
          <w:szCs w:val="24"/>
          <w:lang w:val="en-US" w:eastAsia="zh-CN" w:bidi="ar"/>
        </w:rPr>
        <w:t>3</w:t>
      </w:r>
      <w:r>
        <w:rPr>
          <w:rFonts w:hint="default" w:ascii="Times New Roman" w:hAnsi="Times New Roman" w:eastAsia="宋体" w:cs="Times New Roman"/>
          <w:color w:val="auto"/>
          <w:kern w:val="0"/>
          <w:sz w:val="24"/>
          <w:szCs w:val="24"/>
          <w:lang w:val="en-US" w:eastAsia="zh-CN" w:bidi="ar"/>
        </w:rPr>
        <w:t>年花卉零售市场</w:t>
      </w:r>
      <w:r>
        <w:rPr>
          <w:rFonts w:hint="eastAsia" w:ascii="Times New Roman" w:hAnsi="Times New Roman" w:eastAsia="宋体" w:cs="Times New Roman"/>
          <w:color w:val="auto"/>
          <w:kern w:val="0"/>
          <w:sz w:val="24"/>
          <w:szCs w:val="24"/>
          <w:lang w:val="en-US" w:eastAsia="zh-CN" w:bidi="ar"/>
        </w:rPr>
        <w:t>总</w:t>
      </w:r>
      <w:r>
        <w:rPr>
          <w:rFonts w:hint="default" w:ascii="Times New Roman" w:hAnsi="Times New Roman" w:eastAsia="宋体" w:cs="Times New Roman"/>
          <w:color w:val="auto"/>
          <w:kern w:val="0"/>
          <w:sz w:val="24"/>
          <w:szCs w:val="24"/>
          <w:lang w:val="en-US" w:eastAsia="zh-CN" w:bidi="ar"/>
        </w:rPr>
        <w:t>规模达</w:t>
      </w:r>
      <w:r>
        <w:rPr>
          <w:rFonts w:hint="eastAsia" w:ascii="Times New Roman" w:hAnsi="Times New Roman" w:eastAsia="宋体" w:cs="Times New Roman"/>
          <w:color w:val="auto"/>
          <w:kern w:val="0"/>
          <w:sz w:val="24"/>
          <w:szCs w:val="24"/>
          <w:lang w:val="en-US" w:eastAsia="zh-CN" w:bidi="ar"/>
        </w:rPr>
        <w:t>2165.8</w:t>
      </w:r>
      <w:r>
        <w:rPr>
          <w:rFonts w:hint="default" w:ascii="Times New Roman" w:hAnsi="Times New Roman" w:eastAsia="宋体" w:cs="Times New Roman"/>
          <w:color w:val="auto"/>
          <w:kern w:val="0"/>
          <w:sz w:val="24"/>
          <w:szCs w:val="24"/>
          <w:lang w:val="en-US" w:eastAsia="zh-CN" w:bidi="ar"/>
        </w:rPr>
        <w:t>亿元</w:t>
      </w:r>
      <w:r>
        <w:rPr>
          <w:rFonts w:hint="eastAsia" w:ascii="宋体" w:hAnsi="宋体" w:eastAsia="宋体" w:cs="宋体"/>
          <w:color w:val="auto"/>
          <w:kern w:val="0"/>
          <w:sz w:val="24"/>
          <w:szCs w:val="24"/>
          <w:lang w:val="en-US" w:eastAsia="zh-CN" w:bidi="ar"/>
        </w:rPr>
        <w:t>。</w:t>
      </w:r>
      <w:r>
        <w:rPr>
          <w:rFonts w:hint="eastAsia" w:ascii="宋体" w:hAnsi="宋体" w:cs="宋体"/>
          <w:color w:val="auto"/>
          <w:kern w:val="0"/>
          <w:sz w:val="24"/>
          <w:szCs w:val="24"/>
          <w:lang w:val="en-US" w:eastAsia="zh-CN" w:bidi="ar"/>
        </w:rPr>
        <w:t>此外，</w:t>
      </w:r>
      <w:r>
        <w:rPr>
          <w:rFonts w:hint="default" w:ascii="Times New Roman" w:hAnsi="Times New Roman" w:eastAsia="宋体" w:cs="Times New Roman"/>
          <w:color w:val="auto"/>
          <w:kern w:val="0"/>
          <w:sz w:val="24"/>
          <w:szCs w:val="24"/>
          <w:lang w:val="en-US" w:eastAsia="zh-CN" w:bidi="ar"/>
        </w:rPr>
        <w:t>《202</w:t>
      </w:r>
      <w:r>
        <w:rPr>
          <w:rFonts w:hint="eastAsia" w:ascii="Times New Roman" w:hAnsi="Times New Roman" w:eastAsia="宋体" w:cs="Times New Roman"/>
          <w:color w:val="auto"/>
          <w:kern w:val="0"/>
          <w:sz w:val="24"/>
          <w:szCs w:val="24"/>
          <w:lang w:val="en-US" w:eastAsia="zh-CN" w:bidi="ar"/>
        </w:rPr>
        <w:t>3年云花产业发展白皮书</w:t>
      </w: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指出</w:t>
      </w:r>
      <w:r>
        <w:rPr>
          <w:rFonts w:hint="default" w:ascii="Times New Roman" w:hAnsi="Times New Roman" w:eastAsia="宋体" w:cs="Times New Roman"/>
          <w:color w:val="auto"/>
          <w:kern w:val="0"/>
          <w:sz w:val="24"/>
          <w:szCs w:val="24"/>
          <w:lang w:val="en-US" w:eastAsia="zh-CN" w:bidi="ar"/>
        </w:rPr>
        <w:t>，</w:t>
      </w:r>
      <w:r>
        <w:rPr>
          <w:rFonts w:hint="eastAsia" w:ascii="Times New Roman" w:hAnsi="Times New Roman" w:eastAsia="宋体" w:cs="Times New Roman"/>
          <w:color w:val="auto"/>
          <w:kern w:val="0"/>
          <w:sz w:val="24"/>
          <w:szCs w:val="24"/>
          <w:lang w:val="en-US" w:eastAsia="zh-CN" w:bidi="ar"/>
        </w:rPr>
        <w:t>全国鲜切花产量</w:t>
      </w:r>
      <w:r>
        <w:rPr>
          <w:rFonts w:hint="eastAsia" w:cs="Times New Roman"/>
          <w:color w:val="auto"/>
          <w:kern w:val="0"/>
          <w:sz w:val="24"/>
          <w:szCs w:val="24"/>
          <w:lang w:val="en-US" w:eastAsia="zh-CN" w:bidi="ar"/>
        </w:rPr>
        <w:t>高达</w:t>
      </w:r>
      <w:r>
        <w:rPr>
          <w:rFonts w:hint="eastAsia" w:ascii="Times New Roman" w:hAnsi="Times New Roman" w:eastAsia="宋体" w:cs="Times New Roman"/>
          <w:color w:val="auto"/>
          <w:kern w:val="0"/>
          <w:sz w:val="24"/>
          <w:szCs w:val="24"/>
          <w:lang w:val="en-US" w:eastAsia="zh-CN" w:bidi="ar"/>
        </w:rPr>
        <w:t>315.39亿支</w:t>
      </w:r>
      <w:r>
        <w:rPr>
          <w:rFonts w:hint="eastAsia" w:ascii="宋体" w:hAnsi="宋体" w:eastAsia="宋体" w:cs="宋体"/>
          <w:color w:val="auto"/>
          <w:kern w:val="0"/>
          <w:sz w:val="24"/>
          <w:szCs w:val="24"/>
          <w:lang w:val="en-US" w:eastAsia="zh-CN" w:bidi="ar"/>
        </w:rPr>
        <w:t>，销售额</w:t>
      </w:r>
      <w:r>
        <w:rPr>
          <w:rFonts w:hint="eastAsia" w:ascii="宋体" w:hAnsi="宋体" w:cs="宋体"/>
          <w:color w:val="auto"/>
          <w:kern w:val="0"/>
          <w:sz w:val="24"/>
          <w:szCs w:val="24"/>
          <w:lang w:val="en-US" w:eastAsia="zh-CN" w:bidi="ar"/>
        </w:rPr>
        <w:t>达到</w:t>
      </w:r>
      <w:r>
        <w:rPr>
          <w:rFonts w:hint="eastAsia" w:ascii="Times New Roman" w:hAnsi="Times New Roman" w:eastAsia="宋体" w:cs="Times New Roman"/>
          <w:color w:val="auto"/>
          <w:kern w:val="0"/>
          <w:sz w:val="24"/>
          <w:szCs w:val="24"/>
          <w:lang w:val="en-US" w:eastAsia="zh-CN" w:bidi="ar"/>
        </w:rPr>
        <w:t>2167.95</w:t>
      </w:r>
      <w:r>
        <w:rPr>
          <w:rFonts w:hint="eastAsia" w:ascii="宋体" w:hAnsi="宋体" w:eastAsia="宋体" w:cs="宋体"/>
          <w:color w:val="auto"/>
          <w:kern w:val="0"/>
          <w:sz w:val="24"/>
          <w:szCs w:val="24"/>
          <w:lang w:val="en-US" w:eastAsia="zh-CN" w:bidi="ar"/>
        </w:rPr>
        <w:t>亿元，</w:t>
      </w:r>
      <w:r>
        <w:rPr>
          <w:rFonts w:hint="eastAsia" w:cs="Times New Roman"/>
          <w:color w:val="auto"/>
          <w:kern w:val="0"/>
          <w:sz w:val="24"/>
          <w:szCs w:val="24"/>
          <w:lang w:val="en-US" w:eastAsia="zh-CN" w:bidi="ar"/>
        </w:rPr>
        <w:t>彰显了鲜切花市场的巨大潜力和广阔前景</w:t>
      </w: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当前，</w:t>
      </w:r>
      <w:r>
        <w:rPr>
          <w:rFonts w:hint="eastAsia" w:ascii="Times New Roman" w:hAnsi="Times New Roman" w:eastAsia="宋体" w:cs="Times New Roman"/>
          <w:color w:val="auto"/>
          <w:kern w:val="0"/>
          <w:sz w:val="24"/>
          <w:szCs w:val="24"/>
          <w:lang w:val="en-US" w:eastAsia="zh-CN" w:bidi="ar"/>
        </w:rPr>
        <w:t>鲜切花市场正在经历向品质消费新时代的转型，消费者对鲜切花的需求在数量、种类、品质及效益等方面呈现出</w:t>
      </w:r>
      <w:r>
        <w:rPr>
          <w:rFonts w:hint="eastAsia" w:cs="Times New Roman"/>
          <w:color w:val="auto"/>
          <w:kern w:val="0"/>
          <w:sz w:val="24"/>
          <w:szCs w:val="24"/>
          <w:lang w:val="en-US" w:eastAsia="zh-CN" w:bidi="ar"/>
        </w:rPr>
        <w:t>显著的增长态势</w:t>
      </w:r>
      <w:r>
        <w:rPr>
          <w:rFonts w:hint="eastAsia" w:ascii="Times New Roman" w:hAnsi="Times New Roman" w:eastAsia="宋体" w:cs="Times New Roman"/>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云南省</w:t>
      </w:r>
      <w:r>
        <w:rPr>
          <w:rFonts w:hint="eastAsia" w:ascii="宋体" w:hAnsi="宋体" w:cs="宋体"/>
          <w:color w:val="auto"/>
          <w:kern w:val="0"/>
          <w:sz w:val="24"/>
          <w:szCs w:val="24"/>
          <w:lang w:val="en-US" w:eastAsia="zh-CN" w:bidi="ar"/>
        </w:rPr>
        <w:t>历来是</w:t>
      </w:r>
      <w:r>
        <w:rPr>
          <w:rFonts w:hint="eastAsia" w:ascii="宋体" w:hAnsi="宋体" w:eastAsia="宋体" w:cs="宋体"/>
          <w:color w:val="auto"/>
          <w:kern w:val="0"/>
          <w:sz w:val="24"/>
          <w:szCs w:val="24"/>
          <w:lang w:val="en-US" w:eastAsia="zh-CN" w:bidi="ar"/>
        </w:rPr>
        <w:t>中国鲜切花</w:t>
      </w:r>
      <w:r>
        <w:rPr>
          <w:rFonts w:hint="eastAsia" w:ascii="宋体" w:hAnsi="宋体" w:cs="宋体"/>
          <w:color w:val="auto"/>
          <w:kern w:val="0"/>
          <w:sz w:val="24"/>
          <w:szCs w:val="24"/>
          <w:lang w:val="en-US" w:eastAsia="zh-CN" w:bidi="ar"/>
        </w:rPr>
        <w:t>行业的佼佼者，</w:t>
      </w:r>
      <w:r>
        <w:rPr>
          <w:rFonts w:hint="eastAsia" w:ascii="宋体" w:hAnsi="宋体" w:eastAsia="宋体" w:cs="宋体"/>
          <w:color w:val="auto"/>
          <w:kern w:val="0"/>
          <w:sz w:val="24"/>
          <w:szCs w:val="24"/>
          <w:lang w:val="en-US" w:eastAsia="zh-CN" w:bidi="ar"/>
        </w:rPr>
        <w:t>广东、上海等沿海</w:t>
      </w:r>
      <w:r>
        <w:rPr>
          <w:rFonts w:hint="eastAsia" w:ascii="宋体" w:hAnsi="宋体" w:cs="宋体"/>
          <w:color w:val="auto"/>
          <w:kern w:val="0"/>
          <w:sz w:val="24"/>
          <w:szCs w:val="24"/>
          <w:lang w:val="en-US" w:eastAsia="zh-CN" w:bidi="ar"/>
        </w:rPr>
        <w:t>城市的鲜切花产业</w:t>
      </w:r>
      <w:r>
        <w:rPr>
          <w:rFonts w:hint="eastAsia" w:ascii="宋体" w:hAnsi="宋体" w:eastAsia="宋体" w:cs="宋体"/>
          <w:color w:val="auto"/>
          <w:kern w:val="0"/>
          <w:sz w:val="24"/>
          <w:szCs w:val="24"/>
          <w:lang w:val="en-US" w:eastAsia="zh-CN" w:bidi="ar"/>
        </w:rPr>
        <w:t>也</w:t>
      </w:r>
      <w:r>
        <w:rPr>
          <w:rFonts w:hint="eastAsia" w:ascii="宋体" w:hAnsi="宋体" w:cs="宋体"/>
          <w:color w:val="auto"/>
          <w:kern w:val="0"/>
          <w:sz w:val="24"/>
          <w:szCs w:val="24"/>
          <w:lang w:val="en-US" w:eastAsia="zh-CN" w:bidi="ar"/>
        </w:rPr>
        <w:t>蓬勃</w:t>
      </w:r>
      <w:r>
        <w:rPr>
          <w:rFonts w:hint="eastAsia" w:ascii="宋体" w:hAnsi="宋体" w:eastAsia="宋体" w:cs="宋体"/>
          <w:color w:val="auto"/>
          <w:kern w:val="0"/>
          <w:sz w:val="24"/>
          <w:szCs w:val="24"/>
          <w:lang w:val="en-US" w:eastAsia="zh-CN" w:bidi="ar"/>
        </w:rPr>
        <w:t>发展。</w:t>
      </w:r>
      <w:r>
        <w:rPr>
          <w:rFonts w:hint="eastAsia" w:ascii="宋体" w:hAnsi="宋体" w:cs="宋体"/>
          <w:color w:val="auto"/>
          <w:kern w:val="0"/>
          <w:sz w:val="24"/>
          <w:szCs w:val="24"/>
          <w:lang w:val="en-US" w:eastAsia="zh-CN" w:bidi="ar"/>
        </w:rPr>
        <w:t>然而，</w:t>
      </w:r>
      <w:r>
        <w:rPr>
          <w:rFonts w:hint="eastAsia" w:ascii="宋体" w:hAnsi="宋体" w:eastAsia="宋体" w:cs="宋体"/>
          <w:color w:val="auto"/>
          <w:kern w:val="0"/>
          <w:sz w:val="24"/>
          <w:szCs w:val="24"/>
          <w:lang w:val="en-US" w:eastAsia="zh-CN" w:bidi="ar"/>
        </w:rPr>
        <w:t>与</w:t>
      </w:r>
      <w:r>
        <w:rPr>
          <w:rFonts w:hint="eastAsia" w:ascii="宋体" w:hAnsi="宋体" w:cs="宋体"/>
          <w:color w:val="auto"/>
          <w:kern w:val="0"/>
          <w:sz w:val="24"/>
          <w:szCs w:val="24"/>
          <w:lang w:val="en-US" w:eastAsia="zh-CN" w:bidi="ar"/>
        </w:rPr>
        <w:t>上述</w:t>
      </w:r>
      <w:r>
        <w:rPr>
          <w:rFonts w:hint="eastAsia" w:ascii="宋体" w:hAnsi="宋体" w:eastAsia="宋体" w:cs="宋体"/>
          <w:color w:val="auto"/>
          <w:kern w:val="0"/>
          <w:sz w:val="24"/>
          <w:szCs w:val="24"/>
          <w:lang w:val="en-US" w:eastAsia="zh-CN" w:bidi="ar"/>
        </w:rPr>
        <w:t>地区相比，江苏省鲜切花</w:t>
      </w:r>
      <w:r>
        <w:rPr>
          <w:rFonts w:hint="eastAsia" w:cs="Times New Roman"/>
          <w:color w:val="auto"/>
          <w:kern w:val="0"/>
          <w:sz w:val="24"/>
          <w:szCs w:val="24"/>
          <w:lang w:val="en-US" w:eastAsia="zh-CN" w:bidi="ar"/>
        </w:rPr>
        <w:t>生产在品种选择上相对局限</w:t>
      </w:r>
      <w:r>
        <w:rPr>
          <w:rFonts w:hint="eastAsia" w:ascii="宋体" w:hAnsi="宋体" w:eastAsia="宋体" w:cs="宋体"/>
          <w:color w:val="auto"/>
          <w:kern w:val="0"/>
          <w:sz w:val="24"/>
          <w:szCs w:val="24"/>
          <w:lang w:val="en-US" w:eastAsia="zh-CN" w:bidi="ar"/>
        </w:rPr>
        <w:t>，主要集中</w:t>
      </w:r>
      <w:r>
        <w:rPr>
          <w:rFonts w:hint="eastAsia" w:ascii="宋体" w:hAnsi="宋体" w:cs="宋体"/>
          <w:color w:val="auto"/>
          <w:kern w:val="0"/>
          <w:sz w:val="24"/>
          <w:szCs w:val="24"/>
          <w:lang w:val="en-US" w:eastAsia="zh-CN" w:bidi="ar"/>
        </w:rPr>
        <w:t>于</w:t>
      </w:r>
      <w:r>
        <w:rPr>
          <w:rFonts w:hint="eastAsia" w:ascii="宋体" w:hAnsi="宋体" w:eastAsia="宋体" w:cs="宋体"/>
          <w:color w:val="auto"/>
          <w:kern w:val="0"/>
          <w:sz w:val="24"/>
          <w:szCs w:val="24"/>
          <w:lang w:val="en-US" w:eastAsia="zh-CN" w:bidi="ar"/>
        </w:rPr>
        <w:t>月季、菊花、非洲菊、唐菖蒲等</w:t>
      </w:r>
      <w:r>
        <w:rPr>
          <w:rFonts w:hint="eastAsia" w:cs="Times New Roman"/>
          <w:color w:val="auto"/>
          <w:kern w:val="0"/>
          <w:sz w:val="24"/>
          <w:szCs w:val="24"/>
          <w:lang w:val="en-US" w:eastAsia="zh-CN" w:bidi="ar"/>
        </w:rPr>
        <w:t>传统花卉品种</w:t>
      </w:r>
      <w:r>
        <w:rPr>
          <w:rFonts w:hint="eastAsia" w:ascii="宋体" w:hAnsi="宋体" w:eastAsia="宋体" w:cs="宋体"/>
          <w:color w:val="auto"/>
          <w:kern w:val="0"/>
          <w:sz w:val="24"/>
          <w:szCs w:val="24"/>
          <w:lang w:val="en-US" w:eastAsia="zh-CN" w:bidi="ar"/>
        </w:rPr>
        <w:t>，缺乏地域特色。</w:t>
      </w:r>
      <w:r>
        <w:rPr>
          <w:rFonts w:hint="default" w:ascii="Times New Roman" w:hAnsi="Times New Roman" w:eastAsia="宋体" w:cs="Times New Roman"/>
          <w:color w:val="auto"/>
          <w:kern w:val="0"/>
          <w:sz w:val="24"/>
          <w:szCs w:val="24"/>
          <w:lang w:val="en-US" w:eastAsia="zh-CN" w:bidi="ar"/>
        </w:rPr>
        <w:t>2020年</w:t>
      </w:r>
      <w:r>
        <w:rPr>
          <w:rFonts w:hint="eastAsia" w:cs="Times New Roman"/>
          <w:color w:val="auto"/>
          <w:kern w:val="0"/>
          <w:sz w:val="24"/>
          <w:szCs w:val="24"/>
          <w:lang w:val="en-US" w:eastAsia="zh-CN" w:bidi="ar"/>
        </w:rPr>
        <w:t>鲜切花</w:t>
      </w:r>
      <w:r>
        <w:rPr>
          <w:rFonts w:hint="default" w:ascii="Times New Roman" w:hAnsi="Times New Roman" w:eastAsia="宋体" w:cs="Times New Roman"/>
          <w:color w:val="auto"/>
          <w:kern w:val="0"/>
          <w:sz w:val="24"/>
          <w:szCs w:val="24"/>
          <w:lang w:val="en-US" w:eastAsia="zh-CN" w:bidi="ar"/>
        </w:rPr>
        <w:t>区域购买力数据</w:t>
      </w:r>
      <w:r>
        <w:rPr>
          <w:rFonts w:hint="eastAsia" w:cs="Times New Roman"/>
          <w:color w:val="auto"/>
          <w:kern w:val="0"/>
          <w:sz w:val="24"/>
          <w:szCs w:val="24"/>
          <w:lang w:val="en-US" w:eastAsia="zh-CN" w:bidi="ar"/>
        </w:rPr>
        <w:t>表明</w:t>
      </w:r>
      <w:r>
        <w:rPr>
          <w:rFonts w:hint="default" w:ascii="Times New Roman" w:hAnsi="Times New Roman" w:eastAsia="宋体" w:cs="Times New Roman"/>
          <w:color w:val="auto"/>
          <w:kern w:val="0"/>
          <w:sz w:val="24"/>
          <w:szCs w:val="24"/>
          <w:lang w:val="en-US" w:eastAsia="zh-CN" w:bidi="ar"/>
        </w:rPr>
        <w:t>，花卉交易</w:t>
      </w:r>
      <w:r>
        <w:rPr>
          <w:rFonts w:hint="eastAsia" w:cs="Times New Roman"/>
          <w:color w:val="auto"/>
          <w:kern w:val="0"/>
          <w:sz w:val="24"/>
          <w:szCs w:val="24"/>
          <w:lang w:val="en-US" w:eastAsia="zh-CN" w:bidi="ar"/>
        </w:rPr>
        <w:t>的主要热点</w:t>
      </w:r>
      <w:r>
        <w:rPr>
          <w:rFonts w:hint="default" w:ascii="Times New Roman" w:hAnsi="Times New Roman" w:eastAsia="宋体" w:cs="Times New Roman"/>
          <w:color w:val="auto"/>
          <w:kern w:val="0"/>
          <w:sz w:val="24"/>
          <w:szCs w:val="24"/>
          <w:lang w:val="en-US" w:eastAsia="zh-CN" w:bidi="ar"/>
        </w:rPr>
        <w:t>集中在华东、华北、华南</w:t>
      </w:r>
      <w:r>
        <w:rPr>
          <w:rFonts w:hint="eastAsia" w:cs="Times New Roman"/>
          <w:color w:val="auto"/>
          <w:kern w:val="0"/>
          <w:sz w:val="24"/>
          <w:szCs w:val="24"/>
          <w:lang w:val="en-US" w:eastAsia="zh-CN" w:bidi="ar"/>
        </w:rPr>
        <w:t>及</w:t>
      </w:r>
      <w:r>
        <w:rPr>
          <w:rFonts w:hint="default" w:ascii="Times New Roman" w:hAnsi="Times New Roman" w:eastAsia="宋体" w:cs="Times New Roman"/>
          <w:color w:val="auto"/>
          <w:kern w:val="0"/>
          <w:sz w:val="24"/>
          <w:szCs w:val="24"/>
          <w:lang w:val="en-US" w:eastAsia="zh-CN" w:bidi="ar"/>
        </w:rPr>
        <w:t>西南等</w:t>
      </w:r>
      <w:r>
        <w:rPr>
          <w:rFonts w:hint="eastAsia" w:cs="Times New Roman"/>
          <w:color w:val="auto"/>
          <w:kern w:val="0"/>
          <w:sz w:val="24"/>
          <w:szCs w:val="24"/>
          <w:lang w:val="en-US" w:eastAsia="zh-CN" w:bidi="ar"/>
        </w:rPr>
        <w:t>区域</w:t>
      </w: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其中</w:t>
      </w:r>
      <w:r>
        <w:rPr>
          <w:rFonts w:hint="default" w:ascii="Times New Roman" w:hAnsi="Times New Roman" w:eastAsia="宋体" w:cs="Times New Roman"/>
          <w:color w:val="auto"/>
          <w:kern w:val="0"/>
          <w:sz w:val="24"/>
          <w:szCs w:val="24"/>
          <w:lang w:val="en-US" w:eastAsia="zh-CN" w:bidi="ar"/>
        </w:rPr>
        <w:t>华东</w:t>
      </w:r>
      <w:r>
        <w:rPr>
          <w:rFonts w:hint="eastAsia" w:cs="Times New Roman"/>
          <w:color w:val="auto"/>
          <w:kern w:val="0"/>
          <w:sz w:val="24"/>
          <w:szCs w:val="24"/>
          <w:lang w:val="en-US" w:eastAsia="zh-CN" w:bidi="ar"/>
        </w:rPr>
        <w:t>地区更是</w:t>
      </w:r>
      <w:r>
        <w:rPr>
          <w:rFonts w:hint="default" w:ascii="Times New Roman" w:hAnsi="Times New Roman" w:eastAsia="宋体" w:cs="Times New Roman"/>
          <w:color w:val="auto"/>
          <w:kern w:val="0"/>
          <w:sz w:val="24"/>
          <w:szCs w:val="24"/>
          <w:lang w:val="en-US" w:eastAsia="zh-CN" w:bidi="ar"/>
        </w:rPr>
        <w:t>花卉消费</w:t>
      </w:r>
      <w:r>
        <w:rPr>
          <w:rFonts w:hint="eastAsia" w:cs="Times New Roman"/>
          <w:color w:val="auto"/>
          <w:kern w:val="0"/>
          <w:sz w:val="24"/>
          <w:szCs w:val="24"/>
          <w:lang w:val="en-US" w:eastAsia="zh-CN" w:bidi="ar"/>
        </w:rPr>
        <w:t>的主要</w:t>
      </w:r>
      <w:r>
        <w:rPr>
          <w:rFonts w:hint="default" w:ascii="Times New Roman" w:hAnsi="Times New Roman" w:eastAsia="宋体" w:cs="Times New Roman"/>
          <w:color w:val="auto"/>
          <w:kern w:val="0"/>
          <w:sz w:val="24"/>
          <w:szCs w:val="24"/>
          <w:lang w:val="en-US" w:eastAsia="zh-CN" w:bidi="ar"/>
        </w:rPr>
        <w:t>群体，</w:t>
      </w:r>
      <w:r>
        <w:rPr>
          <w:rFonts w:hint="eastAsia" w:cs="Times New Roman"/>
          <w:color w:val="auto"/>
          <w:kern w:val="0"/>
          <w:sz w:val="24"/>
          <w:szCs w:val="24"/>
          <w:lang w:val="en-US" w:eastAsia="zh-CN" w:bidi="ar"/>
        </w:rPr>
        <w:t>显示出对高品质及新品种切花的强烈需求</w:t>
      </w:r>
      <w:r>
        <w:rPr>
          <w:rFonts w:hint="default" w:ascii="Times New Roman" w:hAnsi="Times New Roman" w:eastAsia="宋体" w:cs="Times New Roman"/>
          <w:color w:val="auto"/>
          <w:kern w:val="0"/>
          <w:sz w:val="24"/>
          <w:szCs w:val="24"/>
          <w:lang w:val="en-US" w:eastAsia="zh-CN" w:bidi="ar"/>
        </w:rPr>
        <w:t>。</w:t>
      </w:r>
      <w:r>
        <w:rPr>
          <w:rFonts w:hint="eastAsia" w:cs="Times New Roman"/>
          <w:color w:val="auto"/>
          <w:kern w:val="0"/>
          <w:sz w:val="24"/>
          <w:szCs w:val="24"/>
          <w:lang w:val="en-US" w:eastAsia="zh-CN" w:bidi="ar"/>
        </w:rPr>
        <w:t>江苏省，作为我国的经济与文化重镇，其深厚的文化底蕴与民众对传统文化的深刻理解与传承，共同催生了庞大的鲜切花消费群体及繁荣的消费市场。尤其是传统名花的切花栽培，作为一种新兴的花卉产业形态，在江苏省展现出了无限的发展潜力和极其广阔的市场前景。</w:t>
      </w:r>
    </w:p>
    <w:p w14:paraId="0A81270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default" w:ascii="Times New Roman" w:hAnsi="Times New Roman" w:eastAsia="宋体" w:cs="Times New Roman"/>
          <w:sz w:val="24"/>
          <w:szCs w:val="24"/>
          <w:lang w:val="en-US" w:eastAsia="zh-CN"/>
        </w:rPr>
        <w:t>杜鹃花作为我国传统十大名花之一，</w:t>
      </w:r>
      <w:r>
        <w:rPr>
          <w:rFonts w:hint="eastAsia" w:ascii="Times New Roman" w:hAnsi="Times New Roman" w:eastAsia="宋体" w:cs="Times New Roman"/>
          <w:sz w:val="24"/>
          <w:szCs w:val="24"/>
          <w:lang w:val="en-US" w:eastAsia="zh-CN"/>
        </w:rPr>
        <w:t>具有极高的</w:t>
      </w:r>
      <w:r>
        <w:rPr>
          <w:rFonts w:hint="default" w:ascii="Times New Roman" w:hAnsi="Times New Roman" w:eastAsia="宋体" w:cs="Times New Roman"/>
          <w:sz w:val="24"/>
          <w:szCs w:val="24"/>
          <w:lang w:val="en-US" w:eastAsia="zh-CN"/>
        </w:rPr>
        <w:t>观赏价值，</w:t>
      </w:r>
      <w:r>
        <w:rPr>
          <w:rFonts w:hint="eastAsia" w:ascii="Times New Roman" w:hAnsi="Times New Roman" w:eastAsia="宋体" w:cs="Times New Roman"/>
          <w:sz w:val="24"/>
          <w:szCs w:val="24"/>
          <w:lang w:val="en-US" w:eastAsia="zh-CN"/>
        </w:rPr>
        <w:t>其</w:t>
      </w:r>
      <w:r>
        <w:rPr>
          <w:rFonts w:hint="default" w:ascii="Times New Roman" w:hAnsi="Times New Roman" w:eastAsia="宋体" w:cs="Times New Roman"/>
          <w:sz w:val="24"/>
          <w:szCs w:val="24"/>
          <w:lang w:val="en-US" w:eastAsia="zh-CN"/>
        </w:rPr>
        <w:t>栽培历史悠久，文化</w:t>
      </w:r>
      <w:r>
        <w:rPr>
          <w:rFonts w:hint="eastAsia" w:ascii="Times New Roman" w:hAnsi="Times New Roman" w:eastAsia="宋体" w:cs="Times New Roman"/>
          <w:sz w:val="24"/>
          <w:szCs w:val="24"/>
          <w:lang w:val="en-US" w:eastAsia="zh-CN"/>
        </w:rPr>
        <w:t>底蕴深厚</w:t>
      </w:r>
      <w:r>
        <w:rPr>
          <w:rFonts w:hint="default" w:ascii="Times New Roman" w:hAnsi="Times New Roman" w:eastAsia="宋体" w:cs="Times New Roman"/>
          <w:sz w:val="24"/>
          <w:szCs w:val="24"/>
          <w:lang w:val="en-US" w:eastAsia="zh-CN"/>
        </w:rPr>
        <w:t>。作为切花材料，</w:t>
      </w:r>
      <w:r>
        <w:rPr>
          <w:rFonts w:hint="eastAsia" w:ascii="Times New Roman" w:hAnsi="Times New Roman" w:eastAsia="宋体" w:cs="Times New Roman"/>
          <w:sz w:val="24"/>
          <w:szCs w:val="24"/>
          <w:lang w:val="en-US" w:eastAsia="zh-CN"/>
        </w:rPr>
        <w:t>其应用历史至少可追溯至唐朝时期</w:t>
      </w:r>
      <w:r>
        <w:rPr>
          <w:rFonts w:hint="default" w:ascii="Times New Roman" w:hAnsi="Times New Roman" w:eastAsia="宋体" w:cs="Times New Roman"/>
          <w:sz w:val="24"/>
          <w:szCs w:val="24"/>
          <w:lang w:val="en-US" w:eastAsia="zh-CN"/>
        </w:rPr>
        <w:t>。我国杜鹃花属（</w:t>
      </w:r>
      <w:r>
        <w:rPr>
          <w:rFonts w:hint="default" w:ascii="Times New Roman" w:hAnsi="Times New Roman" w:eastAsia="宋体" w:cs="Times New Roman"/>
          <w:i/>
          <w:iCs/>
          <w:sz w:val="24"/>
          <w:szCs w:val="24"/>
          <w:lang w:val="en-US" w:eastAsia="zh-CN"/>
        </w:rPr>
        <w:t>Rhododendron</w:t>
      </w:r>
      <w:r>
        <w:rPr>
          <w:rFonts w:hint="eastAsia" w:ascii="Times New Roman" w:hAnsi="Times New Roman" w:eastAsia="宋体" w:cs="Times New Roman"/>
          <w:i/>
          <w:iCs/>
          <w:sz w:val="24"/>
          <w:szCs w:val="24"/>
          <w:lang w:val="en-US" w:eastAsia="zh-CN"/>
        </w:rPr>
        <w:t xml:space="preserve"> </w:t>
      </w:r>
      <w:r>
        <w:rPr>
          <w:rFonts w:hint="eastAsia" w:ascii="Times New Roman" w:hAnsi="Times New Roman" w:eastAsia="宋体" w:cs="Times New Roman"/>
          <w:i w:val="0"/>
          <w:iCs w:val="0"/>
          <w:sz w:val="24"/>
          <w:szCs w:val="24"/>
          <w:lang w:val="en-US" w:eastAsia="zh-CN"/>
        </w:rPr>
        <w:t>L.</w:t>
      </w:r>
      <w:r>
        <w:rPr>
          <w:rFonts w:hint="default" w:ascii="Times New Roman" w:hAnsi="Times New Roman" w:eastAsia="宋体" w:cs="Times New Roman"/>
          <w:sz w:val="24"/>
          <w:szCs w:val="24"/>
          <w:lang w:val="en-US" w:eastAsia="zh-CN"/>
        </w:rPr>
        <w:t>）植物资源</w:t>
      </w:r>
      <w:r>
        <w:rPr>
          <w:rFonts w:hint="eastAsia" w:ascii="Times New Roman" w:hAnsi="Times New Roman" w:eastAsia="宋体" w:cs="Times New Roman"/>
          <w:sz w:val="24"/>
          <w:szCs w:val="24"/>
          <w:lang w:val="en-US" w:eastAsia="zh-CN"/>
        </w:rPr>
        <w:t>极为</w:t>
      </w:r>
      <w:r>
        <w:rPr>
          <w:rFonts w:hint="default" w:ascii="Times New Roman" w:hAnsi="Times New Roman" w:eastAsia="宋体" w:cs="Times New Roman"/>
          <w:sz w:val="24"/>
          <w:szCs w:val="24"/>
          <w:lang w:val="en-US" w:eastAsia="zh-CN"/>
        </w:rPr>
        <w:t>丰富，全</w:t>
      </w:r>
      <w:r>
        <w:rPr>
          <w:rFonts w:hint="eastAsia" w:ascii="Times New Roman" w:hAnsi="Times New Roman" w:eastAsia="宋体" w:cs="Times New Roman"/>
          <w:sz w:val="24"/>
          <w:szCs w:val="24"/>
          <w:lang w:val="en-US" w:eastAsia="zh-CN"/>
        </w:rPr>
        <w:t>球约有</w:t>
      </w:r>
      <w:r>
        <w:rPr>
          <w:rFonts w:hint="default" w:ascii="Times New Roman" w:hAnsi="Times New Roman" w:eastAsia="宋体" w:cs="Times New Roman"/>
          <w:sz w:val="24"/>
          <w:szCs w:val="24"/>
          <w:lang w:val="en-US" w:eastAsia="zh-CN"/>
        </w:rPr>
        <w:t>1000种杜鹃花属植物，</w:t>
      </w:r>
      <w:r>
        <w:rPr>
          <w:rFonts w:hint="eastAsia" w:ascii="Times New Roman" w:hAnsi="Times New Roman" w:eastAsia="宋体" w:cs="Times New Roman"/>
          <w:sz w:val="24"/>
          <w:szCs w:val="24"/>
          <w:lang w:val="en-US" w:eastAsia="zh-CN"/>
        </w:rPr>
        <w:t>其中</w:t>
      </w:r>
      <w:r>
        <w:rPr>
          <w:rFonts w:hint="default" w:ascii="Times New Roman" w:hAnsi="Times New Roman" w:eastAsia="宋体" w:cs="Times New Roman"/>
          <w:sz w:val="24"/>
          <w:szCs w:val="24"/>
          <w:lang w:val="en-US" w:eastAsia="zh-CN"/>
        </w:rPr>
        <w:t>我国</w:t>
      </w:r>
      <w:r>
        <w:rPr>
          <w:rFonts w:hint="eastAsia" w:ascii="Times New Roman" w:hAnsi="Times New Roman" w:eastAsia="宋体" w:cs="Times New Roman"/>
          <w:sz w:val="24"/>
          <w:szCs w:val="24"/>
          <w:lang w:val="en-US" w:eastAsia="zh-CN"/>
        </w:rPr>
        <w:t>拥有</w:t>
      </w:r>
      <w:r>
        <w:rPr>
          <w:rFonts w:hint="default" w:ascii="Times New Roman" w:hAnsi="Times New Roman" w:eastAsia="宋体" w:cs="Times New Roman"/>
          <w:sz w:val="24"/>
          <w:szCs w:val="24"/>
          <w:lang w:val="en-US" w:eastAsia="zh-CN"/>
        </w:rPr>
        <w:t>半数以上。</w:t>
      </w:r>
      <w:r>
        <w:rPr>
          <w:rFonts w:hint="eastAsia" w:ascii="Times New Roman" w:hAnsi="Times New Roman" w:eastAsia="宋体" w:cs="Times New Roman"/>
          <w:sz w:val="24"/>
          <w:szCs w:val="24"/>
          <w:lang w:val="en-US" w:eastAsia="zh-CN"/>
        </w:rPr>
        <w:t>当前，</w:t>
      </w:r>
      <w:r>
        <w:rPr>
          <w:rFonts w:hint="default" w:ascii="Times New Roman" w:hAnsi="Times New Roman" w:eastAsia="宋体" w:cs="Times New Roman"/>
          <w:sz w:val="24"/>
          <w:szCs w:val="24"/>
          <w:lang w:val="en-US" w:eastAsia="zh-CN"/>
        </w:rPr>
        <w:t>杜鹃花主要应用</w:t>
      </w:r>
      <w:r>
        <w:rPr>
          <w:rFonts w:hint="eastAsia" w:ascii="Times New Roman" w:hAnsi="Times New Roman" w:eastAsia="宋体" w:cs="Times New Roman"/>
          <w:sz w:val="24"/>
          <w:szCs w:val="24"/>
          <w:lang w:val="en-US" w:eastAsia="zh-CN"/>
        </w:rPr>
        <w:t>于</w:t>
      </w:r>
      <w:r>
        <w:rPr>
          <w:rFonts w:hint="default" w:ascii="Times New Roman" w:hAnsi="Times New Roman" w:eastAsia="宋体" w:cs="Times New Roman"/>
          <w:sz w:val="24"/>
          <w:szCs w:val="24"/>
          <w:lang w:val="en-US" w:eastAsia="zh-CN"/>
        </w:rPr>
        <w:t>园林绿化和室内盆栽，</w:t>
      </w:r>
      <w:r>
        <w:rPr>
          <w:rFonts w:hint="eastAsia" w:ascii="Times New Roman" w:hAnsi="Times New Roman" w:eastAsia="宋体" w:cs="Times New Roman"/>
          <w:sz w:val="24"/>
          <w:szCs w:val="24"/>
          <w:lang w:val="en-US" w:eastAsia="zh-CN"/>
        </w:rPr>
        <w:t>尚</w:t>
      </w:r>
      <w:r>
        <w:rPr>
          <w:rFonts w:hint="default" w:ascii="Times New Roman" w:hAnsi="Times New Roman" w:eastAsia="宋体" w:cs="Times New Roman"/>
          <w:sz w:val="24"/>
          <w:szCs w:val="24"/>
          <w:lang w:val="en-US" w:eastAsia="zh-CN"/>
        </w:rPr>
        <w:t>未</w:t>
      </w:r>
      <w:r>
        <w:rPr>
          <w:rFonts w:hint="eastAsia" w:ascii="宋体" w:hAnsi="宋体" w:eastAsia="宋体" w:cs="宋体"/>
          <w:sz w:val="24"/>
          <w:szCs w:val="24"/>
          <w:lang w:val="en-US" w:eastAsia="zh-CN"/>
        </w:rPr>
        <w:t>形成规模化供应的杜鹃切花市场。</w:t>
      </w:r>
      <w:r>
        <w:rPr>
          <w:rFonts w:hint="default" w:ascii="Times New Roman" w:hAnsi="Times New Roman" w:eastAsia="宋体" w:cs="Times New Roman"/>
          <w:sz w:val="24"/>
          <w:szCs w:val="24"/>
          <w:lang w:val="en-US" w:eastAsia="zh-CN"/>
        </w:rPr>
        <w:t>近年来，</w:t>
      </w:r>
      <w:r>
        <w:rPr>
          <w:rFonts w:hint="eastAsia" w:ascii="宋体" w:hAnsi="宋体" w:eastAsia="宋体" w:cs="宋体"/>
          <w:sz w:val="24"/>
          <w:szCs w:val="24"/>
          <w:lang w:val="en-US" w:eastAsia="zh-CN"/>
        </w:rPr>
        <w:t>非法采集和销售</w:t>
      </w:r>
      <w:r>
        <w:rPr>
          <w:rFonts w:hint="default" w:ascii="Times New Roman" w:hAnsi="Times New Roman" w:eastAsia="宋体" w:cs="Times New Roman"/>
          <w:sz w:val="24"/>
          <w:szCs w:val="24"/>
          <w:lang w:val="en-US" w:eastAsia="zh-CN"/>
        </w:rPr>
        <w:t>国家二级重点保护植物——兴安杜鹃（</w:t>
      </w:r>
      <w:r>
        <w:rPr>
          <w:rFonts w:hint="default" w:ascii="Times New Roman" w:hAnsi="Times New Roman" w:eastAsia="宋体" w:cs="Times New Roman"/>
          <w:i/>
          <w:iCs/>
          <w:sz w:val="24"/>
          <w:szCs w:val="24"/>
          <w:lang w:val="en-US" w:eastAsia="zh-CN"/>
        </w:rPr>
        <w:t>R. dauricum</w:t>
      </w:r>
      <w:r>
        <w:rPr>
          <w:rFonts w:hint="default" w:ascii="Times New Roman" w:hAnsi="Times New Roman" w:eastAsia="宋体" w:cs="Times New Roman"/>
          <w:sz w:val="24"/>
          <w:szCs w:val="24"/>
          <w:lang w:val="en-US" w:eastAsia="zh-CN"/>
        </w:rPr>
        <w:t>）干枝的</w:t>
      </w:r>
      <w:r>
        <w:rPr>
          <w:rFonts w:hint="eastAsia" w:ascii="宋体" w:hAnsi="宋体" w:eastAsia="宋体" w:cs="宋体"/>
          <w:sz w:val="24"/>
          <w:szCs w:val="24"/>
          <w:lang w:val="en-US" w:eastAsia="zh-CN"/>
        </w:rPr>
        <w:t>现象在互联网和实体市场中泛滥，侧面反映出市场对于具有中国特色的新型切花的强烈需求，以及在繁殖和培育方面的不足。杜鹃花作为江苏省内可露地栽培的传统花卉，凭借其丰富的观赏价值，展现了深厚的文化底蕴和鲜明的地域特色。作</w:t>
      </w:r>
      <w:r>
        <w:rPr>
          <w:rFonts w:hint="default" w:ascii="Times New Roman" w:hAnsi="Times New Roman" w:eastAsia="宋体" w:cs="Times New Roman"/>
          <w:sz w:val="24"/>
          <w:szCs w:val="24"/>
          <w:lang w:val="en-US" w:eastAsia="zh-CN"/>
        </w:rPr>
        <w:t>为切花材料，</w:t>
      </w:r>
      <w:r>
        <w:rPr>
          <w:rFonts w:hint="eastAsia" w:ascii="宋体" w:hAnsi="宋体" w:eastAsia="宋体" w:cs="宋体"/>
          <w:sz w:val="24"/>
          <w:szCs w:val="24"/>
          <w:lang w:val="en-US" w:eastAsia="zh-CN"/>
        </w:rPr>
        <w:t>它们</w:t>
      </w:r>
      <w:r>
        <w:rPr>
          <w:rFonts w:hint="default" w:ascii="Times New Roman" w:hAnsi="Times New Roman" w:eastAsia="宋体" w:cs="Times New Roman"/>
          <w:sz w:val="24"/>
          <w:szCs w:val="24"/>
          <w:lang w:val="en-US" w:eastAsia="zh-CN"/>
        </w:rPr>
        <w:t>具有</w:t>
      </w:r>
      <w:r>
        <w:rPr>
          <w:rFonts w:hint="eastAsia" w:ascii="宋体" w:hAnsi="宋体" w:eastAsia="宋体" w:cs="宋体"/>
          <w:sz w:val="24"/>
          <w:szCs w:val="24"/>
          <w:lang w:val="en-US" w:eastAsia="zh-CN"/>
        </w:rPr>
        <w:t>巨大的开发潜力。然而，目前杜鹃花切花的生产技术缺乏统一的技术标准，这导致了切花产品质量与市场供应的不稳定性，难以满足消费者的需求。因此，制定切花杜鹃生产技术规程势在必行。</w:t>
      </w:r>
    </w:p>
    <w:p w14:paraId="5F068CD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outlineLvl w:val="1"/>
        <w:rPr>
          <w:rFonts w:hint="default" w:ascii="黑体" w:hAnsi="黑体" w:eastAsia="黑体" w:cs="黑体"/>
          <w:color w:val="000000"/>
          <w:kern w:val="0"/>
          <w:sz w:val="24"/>
          <w:szCs w:val="24"/>
          <w:lang w:val="en-US" w:eastAsia="zh-CN" w:bidi="ar"/>
        </w:rPr>
      </w:pPr>
      <w:r>
        <w:rPr>
          <w:rFonts w:hint="eastAsia" w:ascii="黑体" w:hAnsi="黑体" w:eastAsia="黑体" w:cs="黑体"/>
          <w:color w:val="000000"/>
          <w:kern w:val="0"/>
          <w:sz w:val="24"/>
          <w:szCs w:val="24"/>
          <w:lang w:val="en-US" w:eastAsia="zh-CN" w:bidi="ar"/>
        </w:rPr>
        <w:t>2、制定标准的可行性</w:t>
      </w:r>
    </w:p>
    <w:p w14:paraId="4E10BA5A">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项目团队多年从事园林植物栽培繁殖与鲜切花保鲜技术等的教学与研究工作，积累了丰富的科研经验。合作申报单位江苏裕华杜鹃种植有限公司，自</w:t>
      </w:r>
      <w:r>
        <w:rPr>
          <w:rFonts w:hint="default" w:ascii="Times New Roman" w:hAnsi="Times New Roman" w:eastAsia="宋体" w:cs="Times New Roman"/>
          <w:sz w:val="24"/>
          <w:szCs w:val="24"/>
          <w:lang w:val="en-US" w:eastAsia="zh-CN"/>
        </w:rPr>
        <w:t>2015</w:t>
      </w:r>
      <w:r>
        <w:rPr>
          <w:rFonts w:hint="eastAsia" w:ascii="宋体" w:hAnsi="宋体" w:eastAsia="宋体" w:cs="宋体"/>
          <w:sz w:val="24"/>
          <w:szCs w:val="24"/>
          <w:lang w:val="en-US" w:eastAsia="zh-CN"/>
        </w:rPr>
        <w:t>年起，作为一家在行业内具有显著影响力的企业，不仅在种植规模上，也在专业化程度上取得了令人瞩目的成就。该公司积极参与并承担了多项科研课题，专注于杜鹃花新品种的选育和新产品开发，取得了显著的成果。项目团队对江苏及其周边地区切花杜鹃的应用价值进行了深入分析，初步筛选出‘胭脂蜜’、‘红珊瑚’、‘蓝樱’等适宜品种。通过实施修剪、药剂处理以及温度调控等关键措施，成功优化了</w:t>
      </w:r>
      <w:r>
        <w:rPr>
          <w:rFonts w:hint="eastAsia" w:ascii="宋体" w:hAnsi="宋体" w:cs="宋体"/>
          <w:sz w:val="24"/>
          <w:szCs w:val="24"/>
          <w:lang w:val="en-US" w:eastAsia="zh-CN"/>
        </w:rPr>
        <w:t>切花</w:t>
      </w:r>
      <w:r>
        <w:rPr>
          <w:rFonts w:hint="eastAsia" w:ascii="宋体" w:hAnsi="宋体" w:eastAsia="宋体" w:cs="宋体"/>
          <w:sz w:val="24"/>
          <w:szCs w:val="24"/>
          <w:lang w:val="en-US" w:eastAsia="zh-CN"/>
        </w:rPr>
        <w:t>杜鹃的生产技术，为相关技术规程的制定奠定了坚实的基础和技术支持。此外，项目团队还结合基础实验、田间试验以及杜鹃花的生产实践，优化并确立了一套以科学为基础、实践检验为支撑的紧密相连的生产技术规程。该规程文本简明扼要，流程设计合理，完全适应江苏省的种植条件和市场需求，确保了操作的可行性和标准化。</w:t>
      </w:r>
    </w:p>
    <w:p w14:paraId="2A6859BF">
      <w:pPr>
        <w:spacing w:line="360" w:lineRule="auto"/>
        <w:ind w:firstLine="480" w:firstLineChars="200"/>
        <w:outlineLvl w:val="1"/>
        <w:rPr>
          <w:rFonts w:hint="eastAsia" w:ascii="黑体" w:hAnsi="宋体" w:eastAsia="黑体"/>
          <w:sz w:val="24"/>
          <w:lang w:val="en-US" w:eastAsia="zh-CN"/>
        </w:rPr>
      </w:pPr>
      <w:r>
        <w:rPr>
          <w:rFonts w:hint="eastAsia" w:ascii="黑体" w:hAnsi="宋体" w:eastAsia="黑体"/>
          <w:sz w:val="24"/>
          <w:lang w:val="en-US" w:eastAsia="zh-CN"/>
        </w:rPr>
        <w:t>3、标准发布后的作用</w:t>
      </w:r>
    </w:p>
    <w:p w14:paraId="3AD1A8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hint="eastAsia" w:ascii="宋体" w:hAnsi="宋体" w:cs="宋体"/>
          <w:sz w:val="24"/>
          <w:szCs w:val="24"/>
          <w:lang w:val="en-US" w:eastAsia="zh-CN"/>
        </w:rPr>
        <w:t>切花杜鹃</w:t>
      </w:r>
      <w:r>
        <w:rPr>
          <w:rFonts w:hint="eastAsia" w:ascii="宋体" w:hAnsi="宋体" w:eastAsia="宋体" w:cs="宋体"/>
          <w:sz w:val="24"/>
          <w:szCs w:val="24"/>
          <w:lang w:val="en-US" w:eastAsia="zh-CN"/>
        </w:rPr>
        <w:t>生产技术规程”区域特点突出，可操作性强，有望填补江苏省区域相关农业标准的空白。规程所推荐的切花</w:t>
      </w:r>
      <w:r>
        <w:rPr>
          <w:rFonts w:hint="eastAsia" w:ascii="宋体" w:hAnsi="宋体" w:cs="宋体"/>
          <w:sz w:val="24"/>
          <w:szCs w:val="24"/>
          <w:lang w:val="en-US" w:eastAsia="zh-CN"/>
        </w:rPr>
        <w:t>杜鹃</w:t>
      </w:r>
      <w:r>
        <w:rPr>
          <w:rFonts w:hint="eastAsia" w:ascii="宋体" w:hAnsi="宋体" w:eastAsia="宋体" w:cs="宋体"/>
          <w:sz w:val="24"/>
          <w:szCs w:val="24"/>
          <w:lang w:val="en-US" w:eastAsia="zh-CN"/>
        </w:rPr>
        <w:t>生产品种主要以耐高温湿热的东鹃系列品种和江苏野生杜鹃花种类，如映山红（</w:t>
      </w:r>
      <w:r>
        <w:rPr>
          <w:rFonts w:hint="default" w:ascii="Times New Roman" w:hAnsi="Times New Roman" w:eastAsia="宋体" w:cs="Times New Roman"/>
          <w:i/>
          <w:iCs/>
          <w:sz w:val="24"/>
          <w:szCs w:val="24"/>
          <w:lang w:val="en-US" w:eastAsia="zh-CN"/>
        </w:rPr>
        <w:t>R. simsii</w:t>
      </w:r>
      <w:r>
        <w:rPr>
          <w:rFonts w:hint="eastAsia" w:ascii="宋体" w:hAnsi="宋体" w:eastAsia="宋体" w:cs="宋体"/>
          <w:sz w:val="24"/>
          <w:szCs w:val="24"/>
          <w:lang w:val="en-US" w:eastAsia="zh-CN"/>
        </w:rPr>
        <w:t>）、锦绣杜鹃（</w:t>
      </w:r>
      <w:r>
        <w:rPr>
          <w:rFonts w:hint="default" w:ascii="Times New Roman" w:hAnsi="Times New Roman" w:eastAsia="宋体" w:cs="Times New Roman"/>
          <w:i/>
          <w:iCs/>
          <w:sz w:val="24"/>
          <w:szCs w:val="24"/>
          <w:lang w:val="en-US" w:eastAsia="zh-CN"/>
        </w:rPr>
        <w:t>R. pulchrum</w:t>
      </w:r>
      <w:r>
        <w:rPr>
          <w:rFonts w:hint="eastAsia" w:ascii="宋体" w:hAnsi="宋体" w:eastAsia="宋体" w:cs="宋体"/>
          <w:sz w:val="24"/>
          <w:szCs w:val="24"/>
          <w:lang w:val="en-US" w:eastAsia="zh-CN"/>
        </w:rPr>
        <w:t>）、满山红（</w:t>
      </w:r>
      <w:r>
        <w:rPr>
          <w:rFonts w:hint="default" w:ascii="Times New Roman" w:hAnsi="Times New Roman" w:eastAsia="宋体" w:cs="Times New Roman"/>
          <w:i/>
          <w:iCs/>
          <w:sz w:val="24"/>
          <w:szCs w:val="24"/>
          <w:lang w:val="en-US" w:eastAsia="zh-CN"/>
        </w:rPr>
        <w:t>R. mariesii</w:t>
      </w:r>
      <w:r>
        <w:rPr>
          <w:rFonts w:hint="eastAsia" w:ascii="宋体" w:hAnsi="宋体" w:eastAsia="宋体" w:cs="宋体"/>
          <w:sz w:val="24"/>
          <w:szCs w:val="24"/>
          <w:lang w:val="en-US" w:eastAsia="zh-CN"/>
        </w:rPr>
        <w:t>）、羊踯躅（</w:t>
      </w:r>
      <w:r>
        <w:rPr>
          <w:rFonts w:hint="default" w:ascii="Times New Roman" w:hAnsi="Times New Roman" w:eastAsia="宋体" w:cs="Times New Roman"/>
          <w:i/>
          <w:iCs/>
          <w:sz w:val="24"/>
          <w:szCs w:val="24"/>
          <w:lang w:val="en-US" w:eastAsia="zh-CN"/>
        </w:rPr>
        <w:t>R. molle</w:t>
      </w:r>
      <w:r>
        <w:rPr>
          <w:rFonts w:hint="eastAsia" w:ascii="宋体" w:hAnsi="宋体" w:eastAsia="宋体" w:cs="宋体"/>
          <w:sz w:val="24"/>
          <w:szCs w:val="24"/>
          <w:lang w:val="en-US" w:eastAsia="zh-CN"/>
        </w:rPr>
        <w:t>）以及马银花（</w:t>
      </w:r>
      <w:r>
        <w:rPr>
          <w:rFonts w:hint="default" w:ascii="Times New Roman" w:hAnsi="Times New Roman" w:eastAsia="宋体" w:cs="Times New Roman"/>
          <w:i/>
          <w:iCs/>
          <w:sz w:val="24"/>
          <w:szCs w:val="24"/>
          <w:lang w:val="en-US" w:eastAsia="zh-CN"/>
        </w:rPr>
        <w:t>R. ovatum</w:t>
      </w:r>
      <w:r>
        <w:rPr>
          <w:rFonts w:hint="eastAsia" w:ascii="宋体" w:hAnsi="宋体" w:eastAsia="宋体" w:cs="宋体"/>
          <w:sz w:val="24"/>
          <w:szCs w:val="24"/>
          <w:lang w:val="en-US" w:eastAsia="zh-CN"/>
        </w:rPr>
        <w:t>）等为主，这些</w:t>
      </w:r>
      <w:r>
        <w:rPr>
          <w:rFonts w:hint="eastAsia" w:ascii="宋体" w:hAnsi="宋体" w:cs="宋体"/>
          <w:sz w:val="24"/>
          <w:szCs w:val="24"/>
          <w:lang w:val="en-US" w:eastAsia="zh-CN"/>
        </w:rPr>
        <w:t>种或</w:t>
      </w:r>
      <w:r>
        <w:rPr>
          <w:rFonts w:hint="eastAsia" w:ascii="宋体" w:hAnsi="宋体" w:eastAsia="宋体" w:cs="宋体"/>
          <w:sz w:val="24"/>
          <w:szCs w:val="24"/>
          <w:lang w:val="en-US" w:eastAsia="zh-CN"/>
        </w:rPr>
        <w:t>品种在江苏及周边区域可以露地栽培，相对生产成本较低。规程的实施将为生产高品质</w:t>
      </w:r>
      <w:r>
        <w:rPr>
          <w:rFonts w:hint="eastAsia" w:ascii="宋体" w:hAnsi="宋体" w:cs="宋体"/>
          <w:sz w:val="24"/>
          <w:szCs w:val="24"/>
          <w:lang w:val="en-US" w:eastAsia="zh-CN"/>
        </w:rPr>
        <w:t>切花</w:t>
      </w:r>
      <w:r>
        <w:rPr>
          <w:rFonts w:hint="eastAsia" w:ascii="宋体" w:hAnsi="宋体" w:eastAsia="宋体" w:cs="宋体"/>
          <w:sz w:val="24"/>
          <w:szCs w:val="24"/>
          <w:lang w:val="en-US" w:eastAsia="zh-CN"/>
        </w:rPr>
        <w:t>杜鹃的企业提供坚实的技术支持，显著提高企业的收入水平和经济效益。此举不仅将促进杜鹃花种植业的繁荣和产业的多元化发展，还将激发传统名花切花生产企业的兴起。此外，这将助力江苏省花卉产业的整体发展，进而推动区域经济的繁荣，产生积极的社会、经济和生态效益。</w:t>
      </w:r>
    </w:p>
    <w:p w14:paraId="57B96E86">
      <w:pPr>
        <w:spacing w:line="360" w:lineRule="auto"/>
        <w:jc w:val="left"/>
        <w:outlineLvl w:val="0"/>
        <w:rPr>
          <w:rFonts w:hint="eastAsia" w:ascii="黑体" w:hAnsi="黑体" w:eastAsia="黑体" w:cs="黑体"/>
          <w:b w:val="0"/>
          <w:bCs/>
          <w:sz w:val="24"/>
          <w:szCs w:val="24"/>
        </w:rPr>
      </w:pPr>
      <w:r>
        <w:rPr>
          <w:rFonts w:hint="eastAsia" w:ascii="黑体" w:hAnsi="黑体" w:eastAsia="黑体" w:cs="黑体"/>
          <w:b w:val="0"/>
          <w:bCs/>
          <w:sz w:val="24"/>
          <w:szCs w:val="24"/>
          <w:lang w:val="en-US" w:eastAsia="zh-CN"/>
        </w:rPr>
        <w:t>二、</w:t>
      </w:r>
      <w:r>
        <w:rPr>
          <w:rFonts w:hint="eastAsia" w:ascii="黑体" w:hAnsi="黑体" w:eastAsia="黑体" w:cs="黑体"/>
          <w:b w:val="0"/>
          <w:bCs/>
          <w:sz w:val="24"/>
          <w:szCs w:val="24"/>
        </w:rPr>
        <w:t>任务来源</w:t>
      </w:r>
    </w:p>
    <w:p w14:paraId="7F58DD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1、立项文件：江苏省市场监督管理局2022年5月20日下达的《关于2022年度江苏省地方标准立项的公示》。</w:t>
      </w:r>
    </w:p>
    <w:p w14:paraId="2514899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2、文件编号：01400022-0/2022-00149，本</w:t>
      </w:r>
      <w:r>
        <w:rPr>
          <w:rFonts w:hint="eastAsia" w:cs="Times New Roman"/>
          <w:sz w:val="24"/>
          <w:szCs w:val="24"/>
          <w:lang w:val="en-US" w:eastAsia="zh-CN"/>
        </w:rPr>
        <w:t>文件</w:t>
      </w:r>
      <w:r>
        <w:rPr>
          <w:rFonts w:hint="eastAsia" w:ascii="Times New Roman" w:hAnsi="Times New Roman" w:eastAsia="宋体" w:cs="Times New Roman"/>
          <w:sz w:val="24"/>
          <w:szCs w:val="24"/>
          <w:lang w:val="en-US" w:eastAsia="zh-CN"/>
        </w:rPr>
        <w:t>序号：225号。</w:t>
      </w:r>
    </w:p>
    <w:p w14:paraId="791870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eastAsia" w:cs="Times New Roman"/>
          <w:sz w:val="24"/>
          <w:szCs w:val="24"/>
          <w:lang w:val="en-US" w:eastAsia="zh-CN"/>
        </w:rPr>
        <w:t>3、</w:t>
      </w:r>
      <w:r>
        <w:rPr>
          <w:rFonts w:hint="eastAsia" w:cs="Times New Roman"/>
          <w:color w:val="auto"/>
          <w:sz w:val="24"/>
          <w:szCs w:val="24"/>
          <w:lang w:val="en-US" w:eastAsia="zh-CN"/>
        </w:rPr>
        <w:t>标准名称：杜鹃切花生产技术规程。根据实际内容和专家意见对题目进行了调整，修改为“切花杜鹃生产技术规程”。</w:t>
      </w:r>
    </w:p>
    <w:p w14:paraId="790A81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宋体" w:cs="Times New Roman"/>
          <w:sz w:val="24"/>
          <w:szCs w:val="24"/>
          <w:lang w:val="en-US" w:eastAsia="zh-CN"/>
        </w:rPr>
      </w:pPr>
      <w:r>
        <w:rPr>
          <w:rFonts w:hint="eastAsia" w:cs="Times New Roman"/>
          <w:sz w:val="24"/>
          <w:szCs w:val="24"/>
          <w:lang w:val="en-US" w:eastAsia="zh-CN"/>
        </w:rPr>
        <w:t>4</w:t>
      </w:r>
      <w:r>
        <w:rPr>
          <w:rFonts w:hint="eastAsia" w:ascii="Times New Roman" w:hAnsi="Times New Roman" w:eastAsia="宋体" w:cs="Times New Roman"/>
          <w:sz w:val="24"/>
          <w:szCs w:val="24"/>
          <w:lang w:val="en-US" w:eastAsia="zh-CN"/>
        </w:rPr>
        <w:t>、本标准推荐单位：南京林业大学。本标准起草单位：南京林业大学、江苏裕华杜鹃种植有限公司。</w:t>
      </w:r>
    </w:p>
    <w:p w14:paraId="13195B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宋体" w:cs="Times New Roman"/>
          <w:sz w:val="24"/>
          <w:szCs w:val="24"/>
          <w:lang w:val="en-US" w:eastAsia="zh-CN"/>
        </w:rPr>
      </w:pPr>
      <w:r>
        <w:rPr>
          <w:rFonts w:hint="eastAsia" w:cs="Times New Roman"/>
          <w:sz w:val="24"/>
          <w:szCs w:val="24"/>
          <w:lang w:val="en-US" w:eastAsia="zh-CN"/>
        </w:rPr>
        <w:t>5</w:t>
      </w:r>
      <w:r>
        <w:rPr>
          <w:rFonts w:hint="eastAsia" w:ascii="Times New Roman" w:hAnsi="Times New Roman" w:eastAsia="宋体" w:cs="Times New Roman"/>
          <w:sz w:val="24"/>
          <w:szCs w:val="24"/>
          <w:lang w:val="en-US" w:eastAsia="zh-CN"/>
        </w:rPr>
        <w:t>、本标准起草周期：2022年5月至2024年9月。</w:t>
      </w:r>
    </w:p>
    <w:p w14:paraId="654712E6">
      <w:pPr>
        <w:numPr>
          <w:ilvl w:val="0"/>
          <w:numId w:val="2"/>
        </w:numPr>
        <w:spacing w:line="360" w:lineRule="auto"/>
        <w:jc w:val="left"/>
        <w:outlineLvl w:val="0"/>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编制过程</w:t>
      </w:r>
    </w:p>
    <w:p w14:paraId="688B65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default" w:ascii="黑体" w:hAnsi="黑体" w:eastAsia="黑体" w:cs="黑体"/>
          <w:b w:val="0"/>
          <w:bCs/>
          <w:sz w:val="24"/>
          <w:szCs w:val="24"/>
          <w:lang w:val="en-US" w:eastAsia="zh-CN"/>
        </w:rPr>
      </w:pPr>
      <w:r>
        <w:rPr>
          <w:rFonts w:hint="eastAsia" w:ascii="黑体" w:hAnsi="宋体" w:eastAsia="黑体"/>
          <w:sz w:val="24"/>
          <w:lang w:val="en-US" w:eastAsia="zh-CN"/>
        </w:rPr>
        <w:t>1、成立编制组</w:t>
      </w:r>
    </w:p>
    <w:p w14:paraId="6F439686">
      <w:pPr>
        <w:spacing w:line="360" w:lineRule="auto"/>
        <w:ind w:firstLine="480" w:firstLineChars="20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2022年5月，收到项目计划后，</w:t>
      </w:r>
      <w:r>
        <w:rPr>
          <w:rFonts w:hint="default" w:ascii="Times New Roman" w:hAnsi="Times New Roman" w:eastAsia="宋体" w:cs="Times New Roman"/>
          <w:sz w:val="24"/>
          <w:szCs w:val="24"/>
          <w:lang w:val="en-US" w:eastAsia="zh-CN"/>
        </w:rPr>
        <w:t>南京林业大学、江苏裕华杜鹃种植有限公司</w:t>
      </w:r>
      <w:r>
        <w:rPr>
          <w:rFonts w:hint="eastAsia" w:ascii="Times New Roman" w:hAnsi="Times New Roman" w:eastAsia="宋体" w:cs="Times New Roman"/>
          <w:sz w:val="24"/>
          <w:szCs w:val="24"/>
          <w:lang w:val="en-US" w:eastAsia="zh-CN"/>
        </w:rPr>
        <w:t>联合组建</w:t>
      </w:r>
      <w:r>
        <w:rPr>
          <w:rFonts w:hint="default" w:ascii="Times New Roman" w:hAnsi="Times New Roman" w:eastAsia="宋体" w:cs="Times New Roman"/>
          <w:sz w:val="24"/>
          <w:szCs w:val="24"/>
          <w:lang w:val="en-US" w:eastAsia="zh-CN"/>
        </w:rPr>
        <w:t>起草小组，负责起草</w:t>
      </w:r>
      <w:r>
        <w:rPr>
          <w:rFonts w:hint="eastAsia" w:ascii="Times New Roman" w:hAnsi="Times New Roman" w:eastAsia="宋体" w:cs="Times New Roman"/>
          <w:sz w:val="24"/>
          <w:szCs w:val="24"/>
          <w:lang w:val="en-US" w:eastAsia="zh-CN"/>
        </w:rPr>
        <w:t>和</w:t>
      </w:r>
      <w:r>
        <w:rPr>
          <w:rFonts w:hint="default" w:ascii="Times New Roman" w:hAnsi="Times New Roman" w:eastAsia="宋体" w:cs="Times New Roman"/>
          <w:sz w:val="24"/>
          <w:szCs w:val="24"/>
          <w:lang w:val="en-US" w:eastAsia="zh-CN"/>
        </w:rPr>
        <w:t>编写本标准</w:t>
      </w:r>
      <w:r>
        <w:rPr>
          <w:rFonts w:hint="eastAsia" w:ascii="Times New Roman" w:hAnsi="Times New Roman" w:eastAsia="宋体" w:cs="Times New Roman"/>
          <w:sz w:val="24"/>
          <w:szCs w:val="24"/>
          <w:lang w:val="en-US" w:eastAsia="zh-CN"/>
        </w:rPr>
        <w:t>。该小组</w:t>
      </w:r>
      <w:r>
        <w:rPr>
          <w:rFonts w:hint="default" w:ascii="Times New Roman" w:hAnsi="Times New Roman" w:eastAsia="宋体" w:cs="Times New Roman"/>
          <w:sz w:val="24"/>
          <w:szCs w:val="24"/>
          <w:lang w:val="en-US" w:eastAsia="zh-CN"/>
        </w:rPr>
        <w:t>由耿兴敏</w:t>
      </w:r>
      <w:r>
        <w:rPr>
          <w:rFonts w:hint="eastAsia" w:ascii="Times New Roman" w:hAnsi="Times New Roman" w:eastAsia="宋体" w:cs="Times New Roman"/>
          <w:sz w:val="24"/>
          <w:szCs w:val="24"/>
          <w:lang w:val="en-US" w:eastAsia="zh-CN"/>
        </w:rPr>
        <w:t>担任</w:t>
      </w:r>
      <w:r>
        <w:rPr>
          <w:rFonts w:hint="default" w:ascii="Times New Roman" w:hAnsi="Times New Roman" w:eastAsia="宋体" w:cs="Times New Roman"/>
          <w:sz w:val="24"/>
          <w:szCs w:val="24"/>
          <w:lang w:val="en-US" w:eastAsia="zh-CN"/>
        </w:rPr>
        <w:t>组长，</w:t>
      </w:r>
      <w:r>
        <w:rPr>
          <w:rFonts w:hint="eastAsia" w:ascii="Times New Roman" w:hAnsi="Times New Roman" w:eastAsia="宋体" w:cs="Times New Roman"/>
          <w:sz w:val="24"/>
          <w:szCs w:val="24"/>
          <w:lang w:val="en-US" w:eastAsia="zh-CN"/>
        </w:rPr>
        <w:t>成员包括</w:t>
      </w:r>
      <w:r>
        <w:rPr>
          <w:rFonts w:hint="default" w:ascii="Times New Roman" w:hAnsi="Times New Roman" w:eastAsia="宋体" w:cs="Times New Roman"/>
          <w:sz w:val="24"/>
          <w:szCs w:val="24"/>
          <w:lang w:val="en-US" w:eastAsia="zh-CN"/>
        </w:rPr>
        <w:t>周金良、祝遵凌</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孙静、圣倩倩、曾凡玉</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共</w:t>
      </w:r>
      <w:r>
        <w:rPr>
          <w:rFonts w:hint="eastAsia" w:ascii="Times New Roman" w:hAnsi="Times New Roman" w:eastAsia="宋体" w:cs="Times New Roman"/>
          <w:sz w:val="24"/>
          <w:szCs w:val="24"/>
          <w:lang w:val="en-US" w:eastAsia="zh-CN"/>
        </w:rPr>
        <w:t>计六</w:t>
      </w:r>
      <w:r>
        <w:rPr>
          <w:rFonts w:hint="default" w:ascii="Times New Roman" w:hAnsi="Times New Roman" w:eastAsia="宋体" w:cs="Times New Roman"/>
          <w:sz w:val="24"/>
          <w:szCs w:val="24"/>
          <w:lang w:val="en-US" w:eastAsia="zh-CN"/>
        </w:rPr>
        <w:t>人。</w:t>
      </w:r>
    </w:p>
    <w:p w14:paraId="722A68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1"/>
        <w:rPr>
          <w:rFonts w:hint="default" w:ascii="黑体" w:hAnsi="黑体" w:eastAsia="黑体" w:cs="黑体"/>
          <w:b w:val="0"/>
          <w:bCs/>
          <w:sz w:val="24"/>
          <w:szCs w:val="24"/>
          <w:lang w:val="en-US" w:eastAsia="zh-CN"/>
        </w:rPr>
      </w:pPr>
      <w:r>
        <w:rPr>
          <w:rFonts w:hint="eastAsia" w:ascii="黑体" w:hAnsi="宋体" w:eastAsia="黑体"/>
          <w:sz w:val="24"/>
          <w:lang w:val="en-US" w:eastAsia="zh-CN"/>
        </w:rPr>
        <w:t>2、标准文本起草</w:t>
      </w:r>
    </w:p>
    <w:p w14:paraId="4C8F3DB7">
      <w:pPr>
        <w:spacing w:line="360" w:lineRule="auto"/>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自2022年</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lang w:eastAsia="zh-CN"/>
        </w:rPr>
        <w:t>月起，起草小组系统性地搜集了关于</w:t>
      </w:r>
      <w:r>
        <w:rPr>
          <w:rFonts w:hint="eastAsia" w:cs="Times New Roman"/>
          <w:sz w:val="24"/>
          <w:szCs w:val="24"/>
          <w:lang w:val="en-US" w:eastAsia="zh-CN"/>
        </w:rPr>
        <w:t>切花</w:t>
      </w:r>
      <w:r>
        <w:rPr>
          <w:rFonts w:hint="eastAsia" w:ascii="Times New Roman" w:hAnsi="Times New Roman" w:eastAsia="宋体" w:cs="Times New Roman"/>
          <w:sz w:val="24"/>
          <w:szCs w:val="24"/>
          <w:lang w:eastAsia="zh-CN"/>
        </w:rPr>
        <w:t>杜鹃生产栽培条件、苗木繁殖技术、整形修剪方法以及病虫</w:t>
      </w:r>
      <w:r>
        <w:rPr>
          <w:rFonts w:hint="eastAsia" w:cs="Times New Roman"/>
          <w:sz w:val="24"/>
          <w:szCs w:val="24"/>
          <w:lang w:val="en-US" w:eastAsia="zh-CN"/>
        </w:rPr>
        <w:t>草</w:t>
      </w:r>
      <w:r>
        <w:rPr>
          <w:rFonts w:hint="eastAsia" w:ascii="Times New Roman" w:hAnsi="Times New Roman" w:eastAsia="宋体" w:cs="Times New Roman"/>
          <w:sz w:val="24"/>
          <w:szCs w:val="24"/>
          <w:lang w:eastAsia="zh-CN"/>
        </w:rPr>
        <w:t>害</w:t>
      </w:r>
      <w:r>
        <w:rPr>
          <w:rFonts w:hint="eastAsia" w:cs="Times New Roman"/>
          <w:sz w:val="24"/>
          <w:szCs w:val="24"/>
          <w:lang w:val="en-US" w:eastAsia="zh-CN"/>
        </w:rPr>
        <w:t>防控</w:t>
      </w:r>
      <w:r>
        <w:rPr>
          <w:rFonts w:hint="eastAsia" w:ascii="Times New Roman" w:hAnsi="Times New Roman" w:eastAsia="宋体" w:cs="Times New Roman"/>
          <w:sz w:val="24"/>
          <w:szCs w:val="24"/>
          <w:lang w:eastAsia="zh-CN"/>
        </w:rPr>
        <w:t>等领域的技术文献，并在此基础上进行了深入研究和田间试验。结合杜鹃花的实际生产栽培经验，起草小组制定了标准草案，</w:t>
      </w:r>
      <w:r>
        <w:rPr>
          <w:rFonts w:hint="eastAsia" w:ascii="Times New Roman" w:hAnsi="Times New Roman" w:eastAsia="宋体" w:cs="Times New Roman"/>
          <w:sz w:val="24"/>
          <w:szCs w:val="24"/>
          <w:lang w:val="en-US" w:eastAsia="zh-CN"/>
        </w:rPr>
        <w:t>并于2023年7月完成初稿</w:t>
      </w:r>
      <w:r>
        <w:rPr>
          <w:rFonts w:hint="eastAsia" w:ascii="Times New Roman" w:hAnsi="Times New Roman" w:eastAsia="宋体" w:cs="Times New Roman"/>
          <w:sz w:val="24"/>
          <w:szCs w:val="24"/>
          <w:lang w:eastAsia="zh-CN"/>
        </w:rPr>
        <w:t>。依据GB/T 1.1—2020《标准化工作导则 第1部分：标准化文件的结构和起草规则》的相关规定，对草案格式进行了调整。</w:t>
      </w:r>
      <w:r>
        <w:rPr>
          <w:rFonts w:hint="eastAsia" w:ascii="Times New Roman" w:hAnsi="Times New Roman" w:eastAsia="宋体" w:cs="Times New Roman"/>
          <w:sz w:val="24"/>
          <w:szCs w:val="24"/>
          <w:lang w:val="en-US" w:eastAsia="zh-CN"/>
        </w:rPr>
        <w:t>随后</w:t>
      </w:r>
      <w:r>
        <w:rPr>
          <w:rFonts w:hint="eastAsia" w:ascii="Times New Roman" w:hAnsi="Times New Roman" w:eastAsia="宋体" w:cs="Times New Roman"/>
          <w:sz w:val="24"/>
          <w:szCs w:val="24"/>
          <w:lang w:eastAsia="zh-CN"/>
        </w:rPr>
        <w:t>，起草小组多次组织成员进行交流和讨论，广泛征集了省内外的意见，并对草案进行了多次修订，最终</w:t>
      </w:r>
      <w:r>
        <w:rPr>
          <w:rFonts w:hint="eastAsia" w:ascii="Times New Roman" w:hAnsi="Times New Roman" w:eastAsia="宋体" w:cs="Times New Roman"/>
          <w:sz w:val="24"/>
          <w:szCs w:val="24"/>
          <w:lang w:val="en-US" w:eastAsia="zh-CN"/>
        </w:rPr>
        <w:t>于2023年8月形成标准</w:t>
      </w:r>
      <w:r>
        <w:rPr>
          <w:rFonts w:hint="eastAsia" w:ascii="Times New Roman" w:hAnsi="Times New Roman" w:eastAsia="宋体" w:cs="Times New Roman"/>
          <w:sz w:val="24"/>
          <w:szCs w:val="24"/>
          <w:lang w:eastAsia="zh-CN"/>
        </w:rPr>
        <w:t>征求意见稿。</w:t>
      </w:r>
    </w:p>
    <w:p w14:paraId="43EEB603">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outlineLvl w:val="1"/>
        <w:rPr>
          <w:rFonts w:hint="eastAsia" w:ascii="黑体" w:hAnsi="宋体" w:eastAsia="黑体" w:cs="Times New Roman"/>
          <w:kern w:val="2"/>
          <w:sz w:val="24"/>
          <w:szCs w:val="24"/>
          <w:lang w:val="en-US" w:eastAsia="zh-CN" w:bidi="ar-SA"/>
        </w:rPr>
      </w:pPr>
      <w:r>
        <w:rPr>
          <w:rFonts w:hint="eastAsia" w:ascii="黑体" w:hAnsi="宋体" w:eastAsia="黑体" w:cs="Times New Roman"/>
          <w:kern w:val="2"/>
          <w:sz w:val="24"/>
          <w:szCs w:val="24"/>
          <w:lang w:val="en-US" w:eastAsia="zh-CN" w:bidi="ar-SA"/>
        </w:rPr>
        <w:t>征求意见阶段</w:t>
      </w:r>
    </w:p>
    <w:p w14:paraId="7DA3BB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cs="Times New Roman"/>
          <w:bCs/>
          <w:sz w:val="24"/>
          <w:lang w:val="en-US" w:eastAsia="zh-CN"/>
        </w:rPr>
      </w:pPr>
      <w:r>
        <w:rPr>
          <w:rFonts w:hint="eastAsia" w:ascii="Times New Roman" w:hAnsi="Times New Roman" w:cs="Times New Roman"/>
          <w:bCs/>
          <w:sz w:val="24"/>
          <w:lang w:eastAsia="zh-CN"/>
        </w:rPr>
        <w:t>对</w:t>
      </w:r>
      <w:r>
        <w:rPr>
          <w:rFonts w:hint="eastAsia" w:ascii="Times New Roman" w:hAnsi="Times New Roman" w:cs="Times New Roman"/>
          <w:bCs/>
          <w:sz w:val="24"/>
          <w:lang w:val="en-US" w:eastAsia="zh-CN"/>
        </w:rPr>
        <w:t>前期</w:t>
      </w:r>
      <w:r>
        <w:rPr>
          <w:rFonts w:hint="eastAsia" w:ascii="Times New Roman" w:hAnsi="Times New Roman" w:cs="Times New Roman"/>
          <w:bCs/>
          <w:sz w:val="24"/>
          <w:lang w:eastAsia="zh-CN"/>
        </w:rPr>
        <w:t>技术方案进行归纳和改进，制定出</w:t>
      </w:r>
      <w:r>
        <w:rPr>
          <w:rFonts w:hint="eastAsia" w:ascii="宋体" w:hAnsi="宋体" w:cs="宋体"/>
          <w:bCs/>
          <w:sz w:val="24"/>
          <w:lang w:val="en-US" w:eastAsia="zh-CN"/>
        </w:rPr>
        <w:t>征求意见稿</w:t>
      </w:r>
      <w:r>
        <w:rPr>
          <w:rFonts w:hint="eastAsia" w:ascii="Times New Roman" w:hAnsi="Times New Roman" w:cs="Times New Roman"/>
          <w:bCs/>
          <w:sz w:val="24"/>
          <w:lang w:eastAsia="zh-CN"/>
        </w:rPr>
        <w:t>。</w:t>
      </w:r>
      <w:r>
        <w:rPr>
          <w:rFonts w:hint="default" w:ascii="Times New Roman" w:hAnsi="Times New Roman" w:cs="Times New Roman"/>
          <w:bCs/>
          <w:color w:val="000000"/>
          <w:sz w:val="24"/>
        </w:rPr>
        <w:t>起草小组向</w:t>
      </w:r>
      <w:r>
        <w:rPr>
          <w:rFonts w:hint="default" w:ascii="Times New Roman" w:hAnsi="Times New Roman" w:cs="Times New Roman"/>
          <w:bCs/>
          <w:color w:val="000000"/>
          <w:sz w:val="24"/>
          <w:lang w:val="en-US" w:eastAsia="zh-CN"/>
        </w:rPr>
        <w:t>江西省中国科学院庐山植物园、江苏省农科院休闲农业研究所、丹东相君杜鹃花培育发展中心、江苏省林业科学研究院</w:t>
      </w:r>
      <w:r>
        <w:rPr>
          <w:rFonts w:hint="eastAsia" w:ascii="Times New Roman" w:hAnsi="Times New Roman" w:cs="Times New Roman"/>
          <w:bCs/>
          <w:color w:val="000000"/>
          <w:sz w:val="24"/>
          <w:lang w:val="en-US" w:eastAsia="zh-CN"/>
        </w:rPr>
        <w:t>、南京中山植物园</w:t>
      </w:r>
      <w:r>
        <w:rPr>
          <w:rFonts w:hint="default" w:ascii="Times New Roman" w:hAnsi="Times New Roman" w:cs="Times New Roman"/>
          <w:bCs/>
          <w:color w:val="000000"/>
          <w:sz w:val="24"/>
          <w:lang w:val="en-US" w:eastAsia="zh-CN"/>
        </w:rPr>
        <w:t>等</w:t>
      </w:r>
      <w:r>
        <w:rPr>
          <w:rFonts w:hint="eastAsia" w:cs="Times New Roman"/>
          <w:bCs/>
          <w:color w:val="000000"/>
          <w:sz w:val="24"/>
          <w:lang w:val="en-US" w:eastAsia="zh-CN"/>
        </w:rPr>
        <w:t>13</w:t>
      </w:r>
      <w:r>
        <w:rPr>
          <w:rFonts w:hint="default" w:ascii="Times New Roman" w:hAnsi="Times New Roman" w:cs="Times New Roman"/>
          <w:bCs/>
          <w:color w:val="000000"/>
          <w:sz w:val="24"/>
          <w:lang w:val="en-US" w:eastAsia="zh-CN"/>
        </w:rPr>
        <w:t>家</w:t>
      </w:r>
      <w:r>
        <w:rPr>
          <w:rFonts w:hint="eastAsia" w:ascii="Times New Roman" w:hAnsi="Times New Roman" w:cs="Times New Roman"/>
          <w:bCs/>
          <w:sz w:val="24"/>
          <w:lang w:val="en-US" w:eastAsia="zh-CN"/>
        </w:rPr>
        <w:t>杜鹃花生产企业、花卉生产领域的科研院所及插花艺术院校</w:t>
      </w:r>
      <w:r>
        <w:rPr>
          <w:rFonts w:hint="default" w:ascii="Times New Roman" w:hAnsi="Times New Roman" w:cs="Times New Roman"/>
          <w:bCs/>
          <w:sz w:val="24"/>
          <w:lang w:val="en-US" w:eastAsia="zh-CN"/>
        </w:rPr>
        <w:t>征求</w:t>
      </w:r>
      <w:r>
        <w:rPr>
          <w:rFonts w:hint="eastAsia" w:ascii="Times New Roman" w:hAnsi="Times New Roman" w:cs="Times New Roman"/>
          <w:bCs/>
          <w:sz w:val="24"/>
          <w:lang w:val="en-US" w:eastAsia="zh-CN"/>
        </w:rPr>
        <w:t>了</w:t>
      </w:r>
      <w:r>
        <w:rPr>
          <w:rFonts w:hint="default" w:ascii="Times New Roman" w:hAnsi="Times New Roman" w:cs="Times New Roman"/>
          <w:bCs/>
          <w:sz w:val="24"/>
          <w:lang w:val="en-US" w:eastAsia="zh-CN"/>
        </w:rPr>
        <w:t>意见</w:t>
      </w:r>
      <w:r>
        <w:rPr>
          <w:rFonts w:hint="eastAsia" w:ascii="Times New Roman" w:hAnsi="Times New Roman" w:cs="Times New Roman"/>
          <w:bCs/>
          <w:sz w:val="24"/>
          <w:lang w:val="en-US" w:eastAsia="zh-CN"/>
        </w:rPr>
        <w:t>。</w:t>
      </w:r>
      <w:r>
        <w:rPr>
          <w:rFonts w:hint="default" w:ascii="Times New Roman" w:hAnsi="Times New Roman" w:cs="Times New Roman"/>
          <w:bCs/>
          <w:sz w:val="24"/>
          <w:lang w:val="en-US" w:eastAsia="zh-CN"/>
        </w:rPr>
        <w:t>共收集</w:t>
      </w:r>
      <w:r>
        <w:rPr>
          <w:rFonts w:hint="eastAsia" w:cs="Times New Roman"/>
          <w:bCs/>
          <w:sz w:val="24"/>
          <w:lang w:val="en-US" w:eastAsia="zh-CN"/>
        </w:rPr>
        <w:t>74</w:t>
      </w:r>
      <w:r>
        <w:rPr>
          <w:rFonts w:hint="default" w:ascii="Times New Roman" w:hAnsi="Times New Roman" w:cs="Times New Roman"/>
          <w:bCs/>
          <w:sz w:val="24"/>
          <w:lang w:val="en-US" w:eastAsia="zh-CN"/>
        </w:rPr>
        <w:t>条主要修改意见，</w:t>
      </w:r>
      <w:r>
        <w:rPr>
          <w:rFonts w:hint="eastAsia" w:ascii="Times New Roman" w:hAnsi="Times New Roman" w:cs="Times New Roman"/>
          <w:bCs/>
          <w:sz w:val="24"/>
          <w:lang w:val="en-US" w:eastAsia="zh-CN"/>
        </w:rPr>
        <w:t>起草小组对每位专家的建议进行了细致的分析和综合评估，并对每项内容进行了仔细的审查和推敲。经过反复的考察、论证和讨论，</w:t>
      </w:r>
      <w:r>
        <w:rPr>
          <w:rFonts w:hint="eastAsia" w:cs="Times New Roman"/>
          <w:bCs/>
          <w:sz w:val="24"/>
          <w:lang w:val="en-US" w:eastAsia="zh-CN"/>
        </w:rPr>
        <w:t>对74</w:t>
      </w:r>
      <w:r>
        <w:rPr>
          <w:rFonts w:hint="default" w:ascii="Times New Roman" w:hAnsi="Times New Roman" w:cs="Times New Roman"/>
          <w:bCs/>
          <w:sz w:val="24"/>
          <w:lang w:val="en-US" w:eastAsia="zh-CN"/>
        </w:rPr>
        <w:t>条修改意见</w:t>
      </w:r>
      <w:r>
        <w:rPr>
          <w:rFonts w:hint="eastAsia" w:cs="Times New Roman"/>
          <w:bCs/>
          <w:sz w:val="24"/>
          <w:lang w:val="en-US" w:eastAsia="zh-CN"/>
        </w:rPr>
        <w:t>进行了采纳或部分采纳</w:t>
      </w:r>
      <w:r>
        <w:rPr>
          <w:rFonts w:hint="eastAsia" w:ascii="Times New Roman" w:hAnsi="Times New Roman" w:cs="Times New Roman"/>
          <w:bCs/>
          <w:sz w:val="24"/>
          <w:lang w:val="en-US" w:eastAsia="zh-CN"/>
        </w:rPr>
        <w:t>。</w:t>
      </w:r>
      <w:r>
        <w:rPr>
          <w:rFonts w:hint="default" w:ascii="Times New Roman" w:hAnsi="Times New Roman" w:cs="Times New Roman"/>
          <w:bCs/>
          <w:sz w:val="24"/>
          <w:lang w:val="en-US" w:eastAsia="zh-CN"/>
        </w:rPr>
        <w:t>最终</w:t>
      </w:r>
      <w:r>
        <w:rPr>
          <w:rFonts w:hint="eastAsia" w:ascii="Times New Roman" w:hAnsi="Times New Roman" w:cs="Times New Roman"/>
          <w:bCs/>
          <w:sz w:val="24"/>
          <w:lang w:val="en-US" w:eastAsia="zh-CN"/>
        </w:rPr>
        <w:t>于2024年9月</w:t>
      </w:r>
      <w:r>
        <w:rPr>
          <w:rFonts w:hint="default" w:ascii="Times New Roman" w:hAnsi="Times New Roman" w:cs="Times New Roman"/>
          <w:bCs/>
          <w:sz w:val="24"/>
          <w:lang w:val="en-US" w:eastAsia="zh-CN"/>
        </w:rPr>
        <w:t>形成江苏省地方标准</w:t>
      </w:r>
      <w:r>
        <w:rPr>
          <w:rFonts w:hint="default" w:ascii="Times New Roman" w:hAnsi="Times New Roman" w:cs="Times New Roman"/>
          <w:bCs/>
          <w:color w:val="auto"/>
          <w:sz w:val="24"/>
          <w:lang w:val="en-US" w:eastAsia="zh-CN"/>
        </w:rPr>
        <w:t>《</w:t>
      </w:r>
      <w:r>
        <w:rPr>
          <w:rFonts w:hint="eastAsia" w:cs="Times New Roman"/>
          <w:bCs/>
          <w:color w:val="auto"/>
          <w:sz w:val="24"/>
          <w:lang w:val="en-US" w:eastAsia="zh-CN"/>
        </w:rPr>
        <w:t>切花</w:t>
      </w:r>
      <w:r>
        <w:rPr>
          <w:rFonts w:hint="eastAsia" w:ascii="Times New Roman" w:hAnsi="Times New Roman" w:cs="Times New Roman"/>
          <w:bCs/>
          <w:color w:val="auto"/>
          <w:sz w:val="24"/>
          <w:lang w:val="en-US" w:eastAsia="zh-CN"/>
        </w:rPr>
        <w:t>杜鹃生产技术规程</w:t>
      </w:r>
      <w:r>
        <w:rPr>
          <w:rFonts w:hint="default" w:ascii="Times New Roman" w:hAnsi="Times New Roman" w:cs="Times New Roman"/>
          <w:bCs/>
          <w:color w:val="auto"/>
          <w:sz w:val="24"/>
          <w:lang w:val="en-US" w:eastAsia="zh-CN"/>
        </w:rPr>
        <w:t>》</w:t>
      </w:r>
      <w:r>
        <w:rPr>
          <w:rFonts w:hint="default" w:ascii="Times New Roman" w:hAnsi="Times New Roman" w:cs="Times New Roman"/>
          <w:bCs/>
          <w:sz w:val="24"/>
          <w:lang w:val="en-US" w:eastAsia="zh-CN"/>
        </w:rPr>
        <w:t>送审稿。</w:t>
      </w:r>
    </w:p>
    <w:p w14:paraId="4B7A4F57">
      <w:pPr>
        <w:spacing w:line="360" w:lineRule="auto"/>
        <w:outlineLvl w:val="0"/>
        <w:rPr>
          <w:rFonts w:hint="default"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四</w:t>
      </w:r>
      <w:r>
        <w:rPr>
          <w:rFonts w:hint="eastAsia" w:ascii="黑体" w:hAnsi="黑体" w:eastAsia="黑体" w:cs="黑体"/>
          <w:b w:val="0"/>
          <w:bCs/>
          <w:sz w:val="24"/>
          <w:szCs w:val="24"/>
        </w:rPr>
        <w:t>、</w:t>
      </w:r>
      <w:r>
        <w:rPr>
          <w:rFonts w:hint="eastAsia" w:ascii="黑体" w:hAnsi="黑体" w:eastAsia="黑体" w:cs="黑体"/>
          <w:b w:val="0"/>
          <w:bCs/>
          <w:sz w:val="24"/>
          <w:szCs w:val="24"/>
          <w:lang w:val="en-US" w:eastAsia="zh-CN"/>
        </w:rPr>
        <w:t>主要内容及技术指标确定依据</w:t>
      </w:r>
    </w:p>
    <w:p w14:paraId="3C91AC7C">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textAlignment w:val="auto"/>
        <w:outlineLvl w:val="1"/>
        <w:rPr>
          <w:rFonts w:hint="eastAsia" w:ascii="黑体" w:hAnsi="宋体" w:eastAsia="黑体" w:cs="Times New Roman"/>
          <w:kern w:val="2"/>
          <w:sz w:val="24"/>
          <w:szCs w:val="24"/>
          <w:lang w:val="en-US" w:eastAsia="zh-CN" w:bidi="ar-SA"/>
        </w:rPr>
      </w:pPr>
      <w:r>
        <w:rPr>
          <w:rFonts w:hint="eastAsia" w:ascii="黑体" w:hAnsi="宋体" w:eastAsia="黑体" w:cs="Times New Roman"/>
          <w:kern w:val="2"/>
          <w:sz w:val="24"/>
          <w:szCs w:val="24"/>
          <w:lang w:val="en-US" w:eastAsia="zh-CN" w:bidi="ar-SA"/>
        </w:rPr>
        <w:t>编写原则</w:t>
      </w:r>
    </w:p>
    <w:p w14:paraId="048D945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w:t>
      </w:r>
      <w:r>
        <w:rPr>
          <w:rFonts w:hint="eastAsia" w:ascii="宋体" w:hAnsi="宋体" w:eastAsia="宋体" w:cs="宋体"/>
          <w:sz w:val="24"/>
          <w:szCs w:val="24"/>
          <w:lang w:val="en-US" w:eastAsia="zh-CN"/>
        </w:rPr>
        <w:t>文件</w:t>
      </w:r>
      <w:r>
        <w:rPr>
          <w:rFonts w:hint="eastAsia" w:ascii="宋体" w:hAnsi="宋体" w:eastAsia="宋体" w:cs="宋体"/>
          <w:sz w:val="24"/>
          <w:szCs w:val="24"/>
        </w:rPr>
        <w:t>编制遵循“先进性、实用性、统一性、规范性”的原则</w:t>
      </w:r>
      <w:r>
        <w:rPr>
          <w:rFonts w:hint="eastAsia" w:ascii="宋体" w:hAnsi="宋体" w:eastAsia="宋体" w:cs="宋体"/>
          <w:color w:val="000000"/>
          <w:sz w:val="24"/>
          <w:szCs w:val="24"/>
        </w:rPr>
        <w:t>，</w:t>
      </w:r>
      <w:r>
        <w:rPr>
          <w:rFonts w:hint="eastAsia" w:ascii="宋体" w:hAnsi="宋体" w:eastAsia="宋体" w:cs="宋体"/>
          <w:sz w:val="24"/>
          <w:szCs w:val="24"/>
        </w:rPr>
        <w:t>注重标准的可操作性。编制过程中，坚持与已有的相关国家标准、行业标准以及相关的法律法规相衔接，避免与法律法规、相关标准之间出现矛盾。</w:t>
      </w:r>
    </w:p>
    <w:p w14:paraId="1BF0204A">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textAlignment w:val="auto"/>
        <w:outlineLvl w:val="1"/>
        <w:rPr>
          <w:rFonts w:hint="eastAsia" w:ascii="黑体" w:hAnsi="宋体" w:eastAsia="黑体" w:cs="Times New Roman"/>
          <w:kern w:val="2"/>
          <w:sz w:val="24"/>
          <w:szCs w:val="24"/>
          <w:lang w:val="en-US" w:eastAsia="zh-CN" w:bidi="ar-SA"/>
        </w:rPr>
      </w:pPr>
      <w:r>
        <w:rPr>
          <w:rFonts w:hint="eastAsia" w:ascii="黑体" w:hAnsi="宋体" w:eastAsia="黑体" w:cs="Times New Roman"/>
          <w:kern w:val="2"/>
          <w:sz w:val="24"/>
          <w:szCs w:val="24"/>
          <w:lang w:val="en-US" w:eastAsia="zh-CN" w:bidi="ar-SA"/>
        </w:rPr>
        <w:t>主要内容</w:t>
      </w:r>
    </w:p>
    <w:p w14:paraId="1E3EAA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eastAsia="宋体"/>
          <w:color w:val="auto"/>
          <w:sz w:val="24"/>
          <w:lang w:val="en-US" w:eastAsia="zh-CN"/>
        </w:rPr>
      </w:pPr>
      <w:r>
        <w:rPr>
          <w:rFonts w:hint="eastAsia" w:ascii="宋体" w:hAnsi="宋体" w:eastAsia="宋体" w:cs="宋体"/>
          <w:color w:val="auto"/>
          <w:sz w:val="24"/>
          <w:szCs w:val="24"/>
        </w:rPr>
        <w:t>本</w:t>
      </w:r>
      <w:r>
        <w:rPr>
          <w:rFonts w:hint="eastAsia" w:ascii="宋体" w:hAnsi="宋体" w:eastAsia="宋体" w:cs="宋体"/>
          <w:color w:val="auto"/>
          <w:sz w:val="24"/>
          <w:szCs w:val="24"/>
          <w:lang w:val="en-US" w:eastAsia="zh-CN"/>
        </w:rPr>
        <w:t>文件</w:t>
      </w:r>
      <w:r>
        <w:rPr>
          <w:rFonts w:hint="eastAsia" w:ascii="宋体" w:hAnsi="宋体" w:eastAsia="宋体" w:cs="宋体"/>
          <w:color w:val="auto"/>
          <w:sz w:val="24"/>
          <w:szCs w:val="24"/>
        </w:rPr>
        <w:t>提出的技术规范</w:t>
      </w:r>
      <w:r>
        <w:rPr>
          <w:rFonts w:hint="eastAsia" w:ascii="宋体" w:hAnsi="宋体" w:eastAsia="宋体" w:cs="宋体"/>
          <w:color w:val="auto"/>
          <w:sz w:val="24"/>
          <w:szCs w:val="24"/>
          <w:lang w:val="en-US" w:eastAsia="zh-CN"/>
        </w:rPr>
        <w:t>包括</w:t>
      </w:r>
      <w:r>
        <w:rPr>
          <w:rFonts w:hint="eastAsia" w:ascii="宋体" w:hAnsi="宋体" w:eastAsia="宋体" w:cs="宋体"/>
          <w:color w:val="auto"/>
          <w:sz w:val="24"/>
          <w:szCs w:val="24"/>
        </w:rPr>
        <w:t>切花</w:t>
      </w:r>
      <w:r>
        <w:rPr>
          <w:rFonts w:hint="eastAsia" w:ascii="宋体" w:hAnsi="宋体" w:cs="宋体"/>
          <w:color w:val="auto"/>
          <w:sz w:val="24"/>
          <w:szCs w:val="24"/>
          <w:lang w:val="en-US" w:eastAsia="zh-CN"/>
        </w:rPr>
        <w:t>杜鹃生产环境条件、种苗选择、定植、田间管理、病虫草害防控、采切与分级、贮藏包装与运输及档案记录</w:t>
      </w:r>
      <w:r>
        <w:rPr>
          <w:rFonts w:hint="eastAsia" w:ascii="宋体" w:hAnsi="宋体" w:eastAsia="宋体" w:cs="宋体"/>
          <w:color w:val="auto"/>
          <w:sz w:val="24"/>
          <w:szCs w:val="24"/>
        </w:rPr>
        <w:t>的技术要求</w:t>
      </w:r>
      <w:r>
        <w:rPr>
          <w:rFonts w:hint="eastAsia" w:ascii="宋体" w:hAnsi="宋体" w:cs="宋体"/>
          <w:color w:val="auto"/>
          <w:sz w:val="24"/>
          <w:szCs w:val="24"/>
          <w:lang w:val="en-US" w:eastAsia="zh-CN"/>
        </w:rPr>
        <w:t>和内容，适用于江苏省及周边地区切花杜鹃的露地生产</w:t>
      </w:r>
      <w:r>
        <w:rPr>
          <w:rFonts w:hint="eastAsia" w:ascii="宋体" w:hAnsi="宋体" w:eastAsia="宋体" w:cs="宋体"/>
          <w:color w:val="auto"/>
          <w:sz w:val="24"/>
          <w:szCs w:val="24"/>
          <w:lang w:eastAsia="zh-CN"/>
        </w:rPr>
        <w:t>。</w:t>
      </w:r>
    </w:p>
    <w:p w14:paraId="205C9F84">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0" w:firstLineChars="200"/>
        <w:textAlignment w:val="auto"/>
        <w:outlineLvl w:val="1"/>
        <w:rPr>
          <w:rFonts w:hint="default" w:ascii="黑体" w:hAnsi="黑体" w:eastAsia="黑体" w:cs="黑体"/>
          <w:b w:val="0"/>
          <w:bCs/>
          <w:sz w:val="24"/>
          <w:szCs w:val="24"/>
          <w:lang w:val="en-US" w:eastAsia="zh-CN"/>
        </w:rPr>
      </w:pPr>
      <w:r>
        <w:rPr>
          <w:rFonts w:hint="eastAsia" w:ascii="黑体" w:hAnsi="宋体" w:eastAsia="黑体" w:cs="Times New Roman"/>
          <w:kern w:val="2"/>
          <w:sz w:val="24"/>
          <w:szCs w:val="24"/>
          <w:lang w:val="en-US" w:eastAsia="zh-CN" w:bidi="ar-SA"/>
        </w:rPr>
        <w:t>技术指标确定依据</w:t>
      </w:r>
    </w:p>
    <w:p w14:paraId="50EED95A">
      <w:pPr>
        <w:spacing w:line="360" w:lineRule="auto"/>
        <w:ind w:firstLine="480" w:firstLineChars="200"/>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本</w:t>
      </w:r>
      <w:r>
        <w:rPr>
          <w:rFonts w:hint="default" w:ascii="Times New Roman" w:hAnsi="Times New Roman" w:eastAsia="宋体" w:cs="Times New Roman"/>
          <w:color w:val="auto"/>
          <w:sz w:val="24"/>
          <w:szCs w:val="24"/>
          <w:lang w:val="en-US" w:eastAsia="zh-CN"/>
        </w:rPr>
        <w:t>文</w:t>
      </w:r>
      <w:bookmarkStart w:id="1" w:name="_Hlk165149391"/>
      <w:r>
        <w:rPr>
          <w:rFonts w:hint="default" w:ascii="Times New Roman" w:hAnsi="Times New Roman" w:eastAsia="宋体" w:cs="Times New Roman"/>
          <w:color w:val="auto"/>
          <w:sz w:val="24"/>
          <w:szCs w:val="24"/>
          <w:lang w:val="en-US" w:eastAsia="zh-CN"/>
        </w:rPr>
        <w:t>有关切花杜鹃生产环境条件、定植、田间管理、病虫草害防控等关键技术，基于</w:t>
      </w:r>
      <w:r>
        <w:rPr>
          <w:rFonts w:hint="eastAsia" w:ascii="宋体" w:hAnsi="宋体" w:eastAsia="宋体" w:cs="宋体"/>
          <w:sz w:val="24"/>
          <w:szCs w:val="24"/>
          <w:lang w:val="en-US" w:eastAsia="zh-CN"/>
        </w:rPr>
        <w:t>南京林业大学杜鹃花</w:t>
      </w:r>
      <w:r>
        <w:rPr>
          <w:rFonts w:hint="eastAsia" w:ascii="宋体" w:hAnsi="宋体" w:eastAsia="宋体" w:cs="宋体"/>
          <w:color w:val="000000"/>
          <w:sz w:val="24"/>
          <w:szCs w:val="24"/>
          <w:lang w:eastAsia="zh-CN"/>
        </w:rPr>
        <w:t>研究</w:t>
      </w:r>
      <w:r>
        <w:rPr>
          <w:rFonts w:hint="eastAsia" w:ascii="宋体" w:hAnsi="宋体" w:eastAsia="宋体" w:cs="宋体"/>
          <w:sz w:val="24"/>
          <w:szCs w:val="24"/>
          <w:lang w:val="en-US" w:eastAsia="zh-CN"/>
        </w:rPr>
        <w:t>团队及相关</w:t>
      </w:r>
      <w:r>
        <w:rPr>
          <w:rFonts w:hint="eastAsia" w:cs="Times New Roman"/>
          <w:color w:val="auto"/>
          <w:sz w:val="24"/>
          <w:szCs w:val="24"/>
          <w:lang w:val="en-US" w:eastAsia="zh-CN"/>
        </w:rPr>
        <w:t>权威</w:t>
      </w:r>
      <w:r>
        <w:rPr>
          <w:rFonts w:hint="eastAsia" w:ascii="宋体" w:hAnsi="宋体" w:eastAsia="宋体" w:cs="宋体"/>
          <w:sz w:val="24"/>
          <w:szCs w:val="24"/>
          <w:lang w:val="en-US" w:eastAsia="zh-CN"/>
        </w:rPr>
        <w:t>机构的</w:t>
      </w:r>
      <w:r>
        <w:rPr>
          <w:rFonts w:hint="eastAsia" w:ascii="宋体" w:hAnsi="宋体" w:cs="宋体"/>
          <w:color w:val="000000"/>
          <w:sz w:val="24"/>
          <w:szCs w:val="24"/>
          <w:lang w:val="en-US" w:eastAsia="zh-CN"/>
        </w:rPr>
        <w:t>科研</w:t>
      </w:r>
      <w:r>
        <w:rPr>
          <w:rFonts w:hint="eastAsia" w:ascii="宋体" w:hAnsi="宋体" w:eastAsia="宋体" w:cs="宋体"/>
          <w:sz w:val="24"/>
          <w:szCs w:val="24"/>
        </w:rPr>
        <w:t>成果</w:t>
      </w:r>
      <w:r>
        <w:rPr>
          <w:rFonts w:hint="default" w:ascii="Times New Roman" w:hAnsi="Times New Roman" w:eastAsia="宋体" w:cs="Times New Roman"/>
          <w:color w:val="auto"/>
          <w:sz w:val="24"/>
          <w:szCs w:val="24"/>
          <w:lang w:val="en-US" w:eastAsia="zh-CN"/>
        </w:rPr>
        <w:t>，并</w:t>
      </w:r>
      <w:r>
        <w:rPr>
          <w:rFonts w:hint="eastAsia" w:ascii="宋体" w:hAnsi="宋体" w:eastAsia="宋体" w:cs="宋体"/>
          <w:sz w:val="24"/>
          <w:szCs w:val="24"/>
          <w:lang w:val="en-US" w:eastAsia="zh-CN"/>
        </w:rPr>
        <w:t>结合了江苏省裕华杜鹃种植有限公司</w:t>
      </w:r>
      <w:r>
        <w:rPr>
          <w:rFonts w:hint="eastAsia" w:ascii="宋体" w:hAnsi="宋体" w:cs="宋体"/>
          <w:sz w:val="24"/>
          <w:szCs w:val="24"/>
          <w:lang w:val="en-US" w:eastAsia="zh-CN"/>
        </w:rPr>
        <w:t>等</w:t>
      </w:r>
      <w:r>
        <w:rPr>
          <w:rFonts w:hint="eastAsia" w:cs="Times New Roman"/>
          <w:color w:val="auto"/>
          <w:sz w:val="24"/>
          <w:szCs w:val="24"/>
          <w:lang w:val="en-US" w:eastAsia="zh-CN"/>
        </w:rPr>
        <w:t>企业</w:t>
      </w:r>
      <w:r>
        <w:rPr>
          <w:rFonts w:hint="eastAsia" w:ascii="宋体" w:hAnsi="宋体" w:eastAsia="宋体" w:cs="宋体"/>
          <w:sz w:val="24"/>
          <w:szCs w:val="24"/>
          <w:lang w:val="en-US" w:eastAsia="zh-CN"/>
        </w:rPr>
        <w:t>的</w:t>
      </w:r>
      <w:r>
        <w:rPr>
          <w:rFonts w:hint="eastAsia" w:ascii="宋体" w:hAnsi="宋体" w:cs="宋体"/>
          <w:sz w:val="24"/>
          <w:szCs w:val="24"/>
          <w:lang w:val="en-US" w:eastAsia="zh-CN"/>
        </w:rPr>
        <w:t>实际</w:t>
      </w:r>
      <w:r>
        <w:rPr>
          <w:rFonts w:hint="eastAsia" w:ascii="宋体" w:hAnsi="宋体" w:eastAsia="宋体" w:cs="宋体"/>
          <w:sz w:val="24"/>
          <w:szCs w:val="24"/>
          <w:lang w:val="en-US" w:eastAsia="zh-CN"/>
        </w:rPr>
        <w:t>生产经验</w:t>
      </w:r>
      <w:r>
        <w:rPr>
          <w:rFonts w:hint="default" w:ascii="Times New Roman" w:hAnsi="Times New Roman" w:eastAsia="宋体" w:cs="Times New Roman"/>
          <w:color w:val="auto"/>
          <w:sz w:val="24"/>
          <w:szCs w:val="24"/>
          <w:lang w:val="en-US" w:eastAsia="zh-CN"/>
        </w:rPr>
        <w:t>。</w:t>
      </w:r>
      <w:r>
        <w:rPr>
          <w:rFonts w:hint="eastAsia" w:cs="Times New Roman"/>
          <w:color w:val="auto"/>
          <w:sz w:val="24"/>
          <w:szCs w:val="24"/>
          <w:lang w:val="en-US" w:eastAsia="zh-CN"/>
        </w:rPr>
        <w:t>切花</w:t>
      </w:r>
      <w:r>
        <w:rPr>
          <w:rFonts w:hint="default" w:ascii="Times New Roman" w:hAnsi="Times New Roman" w:eastAsia="宋体" w:cs="Times New Roman"/>
          <w:color w:val="auto"/>
          <w:sz w:val="24"/>
          <w:szCs w:val="24"/>
        </w:rPr>
        <w:t>杜鹃</w:t>
      </w:r>
      <w:bookmarkEnd w:id="1"/>
      <w:r>
        <w:rPr>
          <w:rFonts w:hint="default" w:ascii="Times New Roman" w:hAnsi="Times New Roman" w:eastAsia="宋体" w:cs="Times New Roman"/>
          <w:color w:val="auto"/>
          <w:sz w:val="24"/>
          <w:szCs w:val="24"/>
          <w:lang w:val="en-US" w:eastAsia="zh-CN"/>
        </w:rPr>
        <w:t>的</w:t>
      </w:r>
      <w:r>
        <w:rPr>
          <w:rFonts w:hint="eastAsia" w:ascii="宋体" w:hAnsi="宋体" w:cs="宋体"/>
          <w:color w:val="auto"/>
          <w:sz w:val="24"/>
          <w:szCs w:val="24"/>
          <w:lang w:val="en-US" w:eastAsia="zh-CN"/>
        </w:rPr>
        <w:t>种苗选择</w:t>
      </w:r>
      <w:r>
        <w:rPr>
          <w:rFonts w:hint="default" w:ascii="Times New Roman" w:hAnsi="Times New Roman" w:eastAsia="宋体" w:cs="Times New Roman"/>
          <w:color w:val="auto"/>
          <w:sz w:val="24"/>
          <w:szCs w:val="24"/>
          <w:lang w:val="en-US" w:eastAsia="zh-CN"/>
        </w:rPr>
        <w:t>基于</w:t>
      </w:r>
      <w:r>
        <w:rPr>
          <w:rFonts w:hint="eastAsia" w:ascii="Times New Roman" w:hAnsi="Times New Roman" w:eastAsia="宋体" w:cs="Times New Roman"/>
          <w:color w:val="auto"/>
          <w:sz w:val="24"/>
          <w:szCs w:val="24"/>
          <w:lang w:val="en-US" w:eastAsia="zh-CN"/>
        </w:rPr>
        <w:t>项目团队</w:t>
      </w:r>
      <w:r>
        <w:rPr>
          <w:rFonts w:hint="eastAsia" w:cs="Times New Roman"/>
          <w:color w:val="auto"/>
          <w:sz w:val="24"/>
          <w:szCs w:val="24"/>
          <w:lang w:val="en-US" w:eastAsia="zh-CN"/>
        </w:rPr>
        <w:t>构建</w:t>
      </w:r>
      <w:r>
        <w:rPr>
          <w:rFonts w:hint="default" w:ascii="Times New Roman" w:hAnsi="Times New Roman" w:eastAsia="宋体" w:cs="Times New Roman"/>
          <w:color w:val="auto"/>
          <w:sz w:val="24"/>
          <w:szCs w:val="24"/>
          <w:lang w:val="en-US" w:eastAsia="zh-CN"/>
        </w:rPr>
        <w:t>的</w:t>
      </w:r>
      <w:r>
        <w:rPr>
          <w:rFonts w:hint="eastAsia" w:cs="Times New Roman"/>
          <w:color w:val="auto"/>
          <w:sz w:val="24"/>
          <w:szCs w:val="24"/>
          <w:lang w:val="en-US" w:eastAsia="zh-CN"/>
        </w:rPr>
        <w:t>切花</w:t>
      </w:r>
      <w:r>
        <w:rPr>
          <w:rFonts w:hint="default" w:ascii="Times New Roman" w:hAnsi="Times New Roman" w:eastAsia="宋体" w:cs="Times New Roman"/>
          <w:color w:val="auto"/>
          <w:sz w:val="24"/>
          <w:szCs w:val="24"/>
          <w:lang w:val="en-US" w:eastAsia="zh-CN"/>
        </w:rPr>
        <w:t>杜鹃综合评价体系。</w:t>
      </w:r>
      <w:r>
        <w:rPr>
          <w:rFonts w:hint="eastAsia" w:cs="Times New Roman"/>
          <w:color w:val="auto"/>
          <w:sz w:val="24"/>
          <w:szCs w:val="24"/>
          <w:lang w:val="en-US" w:eastAsia="zh-CN"/>
        </w:rPr>
        <w:t>项目团队</w:t>
      </w:r>
      <w:r>
        <w:rPr>
          <w:rFonts w:hint="default" w:ascii="Times New Roman" w:hAnsi="Times New Roman" w:eastAsia="宋体" w:cs="Times New Roman"/>
          <w:color w:val="auto"/>
          <w:sz w:val="24"/>
          <w:szCs w:val="24"/>
          <w:lang w:val="en-US" w:eastAsia="zh-CN"/>
        </w:rPr>
        <w:t>选取了51个适宜</w:t>
      </w:r>
      <w:r>
        <w:rPr>
          <w:rFonts w:hint="eastAsia" w:cs="Times New Roman"/>
          <w:color w:val="auto"/>
          <w:sz w:val="24"/>
          <w:szCs w:val="24"/>
          <w:lang w:val="en-US" w:eastAsia="zh-CN"/>
        </w:rPr>
        <w:t>在</w:t>
      </w:r>
      <w:r>
        <w:rPr>
          <w:rFonts w:hint="default" w:ascii="Times New Roman" w:hAnsi="Times New Roman" w:eastAsia="宋体" w:cs="Times New Roman"/>
          <w:color w:val="auto"/>
          <w:sz w:val="24"/>
          <w:szCs w:val="24"/>
          <w:lang w:val="en-US" w:eastAsia="zh-CN"/>
        </w:rPr>
        <w:t>江苏</w:t>
      </w:r>
      <w:r>
        <w:rPr>
          <w:rFonts w:hint="eastAsia" w:cs="Times New Roman"/>
          <w:color w:val="auto"/>
          <w:sz w:val="24"/>
          <w:szCs w:val="24"/>
          <w:lang w:val="en-US" w:eastAsia="zh-CN"/>
        </w:rPr>
        <w:t>地区</w:t>
      </w:r>
      <w:r>
        <w:rPr>
          <w:rFonts w:hint="default" w:ascii="Times New Roman" w:hAnsi="Times New Roman" w:eastAsia="宋体" w:cs="Times New Roman"/>
          <w:color w:val="auto"/>
          <w:sz w:val="24"/>
          <w:szCs w:val="24"/>
          <w:lang w:val="en-US" w:eastAsia="zh-CN"/>
        </w:rPr>
        <w:t>露地栽培的杜鹃</w:t>
      </w:r>
      <w:r>
        <w:rPr>
          <w:rFonts w:hint="eastAsia" w:ascii="Times New Roman" w:hAnsi="Times New Roman" w:eastAsia="宋体" w:cs="Times New Roman"/>
          <w:color w:val="auto"/>
          <w:sz w:val="24"/>
          <w:szCs w:val="24"/>
          <w:lang w:val="en-US" w:eastAsia="zh-CN"/>
        </w:rPr>
        <w:t>花</w:t>
      </w:r>
      <w:r>
        <w:rPr>
          <w:rFonts w:hint="default" w:ascii="Times New Roman" w:hAnsi="Times New Roman" w:eastAsia="宋体" w:cs="Times New Roman"/>
          <w:color w:val="auto"/>
          <w:sz w:val="24"/>
          <w:szCs w:val="24"/>
          <w:lang w:val="en-US" w:eastAsia="zh-CN"/>
        </w:rPr>
        <w:t>品种</w:t>
      </w:r>
      <w:r>
        <w:rPr>
          <w:rFonts w:hint="eastAsia" w:cs="Times New Roman"/>
          <w:color w:val="auto"/>
          <w:sz w:val="24"/>
          <w:szCs w:val="24"/>
          <w:lang w:val="en-US" w:eastAsia="zh-CN"/>
        </w:rPr>
        <w:t>及</w:t>
      </w:r>
      <w:r>
        <w:rPr>
          <w:rFonts w:hint="default" w:ascii="Times New Roman" w:hAnsi="Times New Roman" w:eastAsia="宋体" w:cs="Times New Roman"/>
          <w:color w:val="auto"/>
          <w:sz w:val="24"/>
          <w:szCs w:val="24"/>
          <w:lang w:val="en-US" w:eastAsia="zh-CN"/>
        </w:rPr>
        <w:t>野生种，</w:t>
      </w:r>
      <w:r>
        <w:rPr>
          <w:rFonts w:hint="eastAsia" w:cs="Times New Roman"/>
          <w:color w:val="auto"/>
          <w:sz w:val="24"/>
          <w:szCs w:val="24"/>
          <w:lang w:val="en-US" w:eastAsia="zh-CN"/>
        </w:rPr>
        <w:t>依</w:t>
      </w:r>
      <w:r>
        <w:rPr>
          <w:rFonts w:hint="default" w:ascii="Times New Roman" w:hAnsi="Times New Roman" w:eastAsia="宋体" w:cs="Times New Roman"/>
          <w:color w:val="auto"/>
          <w:sz w:val="24"/>
          <w:szCs w:val="24"/>
          <w:lang w:val="en-US" w:eastAsia="zh-CN"/>
        </w:rPr>
        <w:t>据杜鹃花的</w:t>
      </w:r>
      <w:r>
        <w:rPr>
          <w:rFonts w:hint="eastAsia" w:cs="Times New Roman"/>
          <w:color w:val="auto"/>
          <w:sz w:val="24"/>
          <w:szCs w:val="24"/>
          <w:lang w:val="en-US" w:eastAsia="zh-CN"/>
        </w:rPr>
        <w:t>观赏特性，我们设立了</w:t>
      </w:r>
      <w:r>
        <w:rPr>
          <w:rFonts w:hint="default" w:ascii="Times New Roman" w:hAnsi="Times New Roman" w:eastAsia="宋体" w:cs="Times New Roman"/>
          <w:color w:val="auto"/>
          <w:sz w:val="24"/>
          <w:szCs w:val="24"/>
          <w:lang w:val="en-US" w:eastAsia="zh-CN"/>
        </w:rPr>
        <w:t>3个准则层及14个指标层，</w:t>
      </w:r>
      <w:r>
        <w:rPr>
          <w:rFonts w:hint="eastAsia" w:cs="Times New Roman"/>
          <w:color w:val="auto"/>
          <w:sz w:val="24"/>
          <w:szCs w:val="24"/>
          <w:lang w:val="en-US" w:eastAsia="zh-CN"/>
        </w:rPr>
        <w:t>对各项指标进行量化评分，并构建判断矩阵以确定权重。最终，我们成功</w:t>
      </w:r>
      <w:r>
        <w:rPr>
          <w:rFonts w:hint="default" w:ascii="Times New Roman" w:hAnsi="Times New Roman" w:eastAsia="宋体" w:cs="Times New Roman"/>
          <w:color w:val="auto"/>
          <w:sz w:val="24"/>
          <w:szCs w:val="24"/>
          <w:lang w:val="en-US" w:eastAsia="zh-CN"/>
        </w:rPr>
        <w:t>筛选</w:t>
      </w:r>
      <w:r>
        <w:rPr>
          <w:rFonts w:hint="eastAsia" w:cs="Times New Roman"/>
          <w:color w:val="auto"/>
          <w:sz w:val="24"/>
          <w:szCs w:val="24"/>
          <w:lang w:val="en-US" w:eastAsia="zh-CN"/>
        </w:rPr>
        <w:t>出了一批</w:t>
      </w:r>
      <w:r>
        <w:rPr>
          <w:rFonts w:hint="default" w:ascii="Times New Roman" w:hAnsi="Times New Roman" w:eastAsia="宋体" w:cs="Times New Roman"/>
          <w:color w:val="auto"/>
          <w:sz w:val="24"/>
          <w:szCs w:val="24"/>
          <w:lang w:val="en-US" w:eastAsia="zh-CN"/>
        </w:rPr>
        <w:t>适合</w:t>
      </w:r>
      <w:r>
        <w:rPr>
          <w:rFonts w:hint="eastAsia" w:cs="Times New Roman"/>
          <w:color w:val="auto"/>
          <w:sz w:val="24"/>
          <w:szCs w:val="24"/>
          <w:lang w:val="en-US" w:eastAsia="zh-CN"/>
        </w:rPr>
        <w:t>在</w:t>
      </w:r>
      <w:r>
        <w:rPr>
          <w:rFonts w:hint="default" w:ascii="Times New Roman" w:hAnsi="Times New Roman" w:eastAsia="宋体" w:cs="Times New Roman"/>
          <w:color w:val="auto"/>
          <w:sz w:val="24"/>
          <w:szCs w:val="24"/>
          <w:lang w:val="en-US" w:eastAsia="zh-CN"/>
        </w:rPr>
        <w:t>江苏地区露地栽培的优良</w:t>
      </w:r>
      <w:r>
        <w:rPr>
          <w:rFonts w:hint="eastAsia" w:cs="Times New Roman"/>
          <w:color w:val="auto"/>
          <w:sz w:val="24"/>
          <w:szCs w:val="24"/>
          <w:lang w:val="en-US" w:eastAsia="zh-CN"/>
        </w:rPr>
        <w:t>切花杜鹃</w:t>
      </w:r>
      <w:r>
        <w:rPr>
          <w:rFonts w:hint="eastAsia" w:ascii="Times New Roman" w:hAnsi="Times New Roman" w:eastAsia="宋体" w:cs="Times New Roman"/>
          <w:color w:val="auto"/>
          <w:sz w:val="24"/>
          <w:szCs w:val="24"/>
          <w:lang w:val="en-US" w:eastAsia="zh-CN"/>
        </w:rPr>
        <w:t>种类</w:t>
      </w:r>
      <w:r>
        <w:rPr>
          <w:rFonts w:hint="default" w:ascii="Times New Roman" w:hAnsi="Times New Roman" w:eastAsia="宋体" w:cs="Times New Roman"/>
          <w:color w:val="auto"/>
          <w:sz w:val="24"/>
          <w:szCs w:val="24"/>
          <w:lang w:val="en-US" w:eastAsia="zh-CN"/>
        </w:rPr>
        <w:t>。</w:t>
      </w:r>
    </w:p>
    <w:p w14:paraId="562281B9">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0"/>
        <w:rPr>
          <w:rFonts w:hint="eastAsia" w:ascii="黑体" w:hAnsi="黑体" w:eastAsia="黑体" w:cs="黑体"/>
          <w:b w:val="0"/>
          <w:bCs/>
          <w:sz w:val="24"/>
          <w:szCs w:val="24"/>
        </w:rPr>
      </w:pPr>
      <w:r>
        <w:rPr>
          <w:rFonts w:hint="eastAsia" w:ascii="黑体" w:hAnsi="黑体" w:eastAsia="黑体" w:cs="黑体"/>
          <w:b w:val="0"/>
          <w:bCs/>
          <w:sz w:val="24"/>
          <w:szCs w:val="24"/>
          <w:lang w:val="en-US" w:eastAsia="zh-CN"/>
        </w:rPr>
        <w:t>五</w:t>
      </w:r>
      <w:r>
        <w:rPr>
          <w:rFonts w:hint="eastAsia" w:ascii="黑体" w:hAnsi="黑体" w:eastAsia="黑体" w:cs="黑体"/>
          <w:b w:val="0"/>
          <w:bCs/>
          <w:sz w:val="24"/>
          <w:szCs w:val="24"/>
        </w:rPr>
        <w:t>、重大分歧意见的处理经过和依据</w:t>
      </w:r>
    </w:p>
    <w:p w14:paraId="5C878075">
      <w:pPr>
        <w:spacing w:line="360" w:lineRule="auto"/>
        <w:ind w:firstLine="480" w:firstLineChars="200"/>
        <w:rPr>
          <w:rFonts w:hint="eastAsia" w:ascii="Times New Roman" w:hAnsi="Times New Roman"/>
          <w:sz w:val="24"/>
        </w:rPr>
      </w:pPr>
      <w:r>
        <w:rPr>
          <w:rFonts w:hint="eastAsia" w:ascii="宋体" w:hAnsi="宋体" w:eastAsia="宋体" w:cs="宋体"/>
          <w:sz w:val="24"/>
          <w:szCs w:val="24"/>
          <w:lang w:val="en-US" w:eastAsia="zh-CN"/>
        </w:rPr>
        <w:t>本</w:t>
      </w:r>
      <w:r>
        <w:rPr>
          <w:rFonts w:hint="eastAsia" w:ascii="宋体" w:hAnsi="宋体" w:eastAsia="宋体" w:cs="宋体"/>
          <w:sz w:val="24"/>
          <w:szCs w:val="24"/>
        </w:rPr>
        <w:t>标准</w:t>
      </w:r>
      <w:r>
        <w:rPr>
          <w:rFonts w:hint="eastAsia" w:ascii="宋体" w:hAnsi="宋体" w:eastAsia="宋体" w:cs="宋体"/>
          <w:sz w:val="24"/>
          <w:szCs w:val="24"/>
          <w:lang w:val="en-US" w:eastAsia="zh-CN"/>
        </w:rPr>
        <w:t>综合科研实验</w:t>
      </w:r>
      <w:r>
        <w:rPr>
          <w:rFonts w:hint="eastAsia" w:ascii="宋体" w:hAnsi="宋体" w:eastAsia="宋体" w:cs="宋体"/>
          <w:sz w:val="24"/>
          <w:szCs w:val="24"/>
        </w:rPr>
        <w:t>结果</w:t>
      </w:r>
      <w:r>
        <w:rPr>
          <w:rFonts w:hint="eastAsia" w:ascii="宋体" w:hAnsi="宋体" w:eastAsia="宋体" w:cs="宋体"/>
          <w:sz w:val="24"/>
          <w:szCs w:val="24"/>
          <w:lang w:val="en-US" w:eastAsia="zh-CN"/>
        </w:rPr>
        <w:t>与生产实践经验而制定</w:t>
      </w:r>
      <w:r>
        <w:rPr>
          <w:rFonts w:hint="eastAsia" w:ascii="宋体" w:hAnsi="宋体" w:eastAsia="宋体" w:cs="宋体"/>
          <w:sz w:val="24"/>
          <w:szCs w:val="24"/>
          <w:lang w:eastAsia="zh-CN"/>
        </w:rPr>
        <w:t>。</w:t>
      </w:r>
      <w:r>
        <w:rPr>
          <w:rFonts w:hint="eastAsia" w:ascii="Times New Roman" w:hAnsi="Times New Roman"/>
          <w:sz w:val="24"/>
          <w:lang w:eastAsia="zh-CN"/>
        </w:rPr>
        <w:t>编制小组进行了充分的内部讨论，并广泛征集了省内外科研机构、生产企业以及专家的意见，随后进行了相应的调整和修改，</w:t>
      </w:r>
      <w:r>
        <w:rPr>
          <w:rFonts w:hint="eastAsia" w:ascii="宋体" w:hAnsi="宋体" w:eastAsia="宋体" w:cs="宋体"/>
          <w:color w:val="000000"/>
          <w:sz w:val="24"/>
          <w:szCs w:val="24"/>
        </w:rPr>
        <w:t>无重大意见分歧。</w:t>
      </w:r>
      <w:r>
        <w:rPr>
          <w:rFonts w:hint="eastAsia" w:ascii="Times New Roman" w:hAnsi="Times New Roman"/>
          <w:sz w:val="24"/>
        </w:rPr>
        <w:t>本标准属于推荐性</w:t>
      </w:r>
      <w:r>
        <w:rPr>
          <w:rFonts w:hint="eastAsia"/>
          <w:sz w:val="24"/>
          <w:lang w:val="en-US" w:eastAsia="zh-CN"/>
        </w:rPr>
        <w:t>地方</w:t>
      </w:r>
      <w:r>
        <w:rPr>
          <w:rFonts w:hint="eastAsia" w:ascii="Times New Roman" w:hAnsi="Times New Roman"/>
          <w:sz w:val="24"/>
        </w:rPr>
        <w:t>标准，所规定的技术内容和要求不具有强制性</w:t>
      </w:r>
      <w:r>
        <w:rPr>
          <w:rFonts w:hint="eastAsia" w:ascii="Times New Roman" w:hAnsi="Times New Roman"/>
          <w:sz w:val="24"/>
          <w:lang w:eastAsia="zh-CN"/>
        </w:rPr>
        <w:t>。</w:t>
      </w:r>
      <w:r>
        <w:rPr>
          <w:rFonts w:hint="eastAsia" w:ascii="Times New Roman" w:hAnsi="Times New Roman"/>
          <w:sz w:val="24"/>
        </w:rPr>
        <w:t>使用单位可</w:t>
      </w:r>
      <w:r>
        <w:rPr>
          <w:rFonts w:hint="eastAsia" w:ascii="Times New Roman" w:hAnsi="Times New Roman"/>
          <w:sz w:val="24"/>
          <w:lang w:eastAsia="zh-CN"/>
        </w:rPr>
        <w:t>根据</w:t>
      </w:r>
      <w:r>
        <w:rPr>
          <w:rFonts w:hint="eastAsia" w:ascii="Times New Roman" w:hAnsi="Times New Roman"/>
          <w:sz w:val="24"/>
        </w:rPr>
        <w:t>自身实际</w:t>
      </w:r>
      <w:r>
        <w:rPr>
          <w:rFonts w:hint="eastAsia" w:ascii="Times New Roman" w:hAnsi="Times New Roman"/>
          <w:sz w:val="24"/>
          <w:lang w:val="en-US" w:eastAsia="zh-CN"/>
        </w:rPr>
        <w:t>情况</w:t>
      </w:r>
      <w:r>
        <w:rPr>
          <w:rFonts w:hint="eastAsia" w:ascii="Times New Roman" w:hAnsi="Times New Roman"/>
          <w:sz w:val="24"/>
        </w:rPr>
        <w:t>灵活应用，</w:t>
      </w:r>
      <w:r>
        <w:rPr>
          <w:rFonts w:hint="eastAsia" w:ascii="Times New Roman" w:hAnsi="Times New Roman"/>
          <w:sz w:val="24"/>
          <w:lang w:eastAsia="zh-CN"/>
        </w:rPr>
        <w:t>并且对于有不同意见者，我们欢迎与标准起草人员进行交流与沟通。</w:t>
      </w:r>
    </w:p>
    <w:p w14:paraId="13F36A27">
      <w:pPr>
        <w:spacing w:line="360" w:lineRule="auto"/>
        <w:outlineLvl w:val="0"/>
        <w:rPr>
          <w:rFonts w:hint="eastAsia" w:ascii="仿宋_GB2312" w:hAnsi="宋体" w:eastAsia="仿宋_GB2312"/>
          <w:b/>
          <w:sz w:val="24"/>
          <w:szCs w:val="24"/>
        </w:rPr>
      </w:pPr>
      <w:r>
        <w:rPr>
          <w:rFonts w:hint="eastAsia" w:ascii="黑体" w:hAnsi="黑体" w:eastAsia="黑体" w:cs="黑体"/>
          <w:b w:val="0"/>
          <w:bCs/>
          <w:sz w:val="24"/>
          <w:szCs w:val="24"/>
          <w:lang w:val="en-US" w:eastAsia="zh-CN"/>
        </w:rPr>
        <w:t>六</w:t>
      </w:r>
      <w:r>
        <w:rPr>
          <w:rFonts w:hint="eastAsia" w:ascii="黑体" w:hAnsi="黑体" w:eastAsia="黑体" w:cs="黑体"/>
          <w:b w:val="0"/>
          <w:bCs/>
          <w:sz w:val="24"/>
          <w:szCs w:val="24"/>
        </w:rPr>
        <w:t>、与</w:t>
      </w:r>
      <w:r>
        <w:rPr>
          <w:rFonts w:hint="eastAsia" w:ascii="黑体" w:hAnsi="黑体" w:eastAsia="黑体" w:cs="黑体"/>
          <w:b w:val="0"/>
          <w:bCs/>
          <w:sz w:val="24"/>
          <w:szCs w:val="24"/>
          <w:lang w:val="en-US" w:eastAsia="zh-CN"/>
        </w:rPr>
        <w:t>相关</w:t>
      </w:r>
      <w:r>
        <w:rPr>
          <w:rFonts w:hint="eastAsia" w:ascii="黑体" w:hAnsi="黑体" w:eastAsia="黑体" w:cs="黑体"/>
          <w:b w:val="0"/>
          <w:bCs/>
          <w:sz w:val="24"/>
          <w:szCs w:val="24"/>
        </w:rPr>
        <w:t>法律法规和标准的关系</w:t>
      </w:r>
    </w:p>
    <w:p w14:paraId="6C25F908">
      <w:pPr>
        <w:spacing w:line="360" w:lineRule="auto"/>
        <w:ind w:firstLine="480" w:firstLineChars="200"/>
        <w:outlineLvl w:val="9"/>
        <w:rPr>
          <w:rFonts w:hint="default" w:ascii="Times New Roman" w:hAnsi="Times New Roman" w:eastAsia="宋体" w:cs="Times New Roman"/>
          <w:color w:val="auto"/>
          <w:sz w:val="24"/>
          <w:szCs w:val="24"/>
        </w:rPr>
      </w:pPr>
      <w:r>
        <w:rPr>
          <w:rFonts w:hint="eastAsia" w:ascii="宋体" w:hAnsi="宋体" w:eastAsia="宋体" w:cs="宋体"/>
          <w:color w:val="auto"/>
          <w:sz w:val="24"/>
          <w:szCs w:val="24"/>
        </w:rPr>
        <w:t>本标准</w:t>
      </w:r>
      <w:r>
        <w:rPr>
          <w:rFonts w:hint="eastAsia" w:ascii="宋体" w:hAnsi="宋体" w:eastAsia="宋体" w:cs="宋体"/>
          <w:color w:val="auto"/>
          <w:sz w:val="24"/>
          <w:szCs w:val="24"/>
          <w:lang w:val="en-US" w:eastAsia="zh-CN"/>
        </w:rPr>
        <w:t>的制定参照</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主要花卉产品等级 第1部分：鲜切花</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rPr>
        <w:t>GB/T 18247.1</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val="en-US" w:eastAsia="zh-CN"/>
        </w:rPr>
        <w:t>主要切花产品包装、运输、贮藏</w:t>
      </w:r>
      <w:r>
        <w:rPr>
          <w:rFonts w:hint="default" w:ascii="Times New Roman" w:hAnsi="Times New Roman" w:eastAsia="宋体" w:cs="Times New Roman"/>
          <w:color w:val="auto"/>
          <w:kern w:val="0"/>
          <w:sz w:val="24"/>
          <w:szCs w:val="24"/>
          <w:lang w:eastAsia="zh-CN"/>
        </w:rPr>
        <w:t>》（GB/T 23897）</w:t>
      </w:r>
      <w:r>
        <w:rPr>
          <w:rFonts w:hint="eastAsia"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sz w:val="24"/>
          <w:szCs w:val="24"/>
        </w:rPr>
        <w:t>灌溉与排水工程设计标准</w:t>
      </w:r>
      <w:r>
        <w:rPr>
          <w:rFonts w:hint="default"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sz w:val="24"/>
          <w:szCs w:val="24"/>
        </w:rPr>
        <w:t>GB 50288</w:t>
      </w:r>
      <w:r>
        <w:rPr>
          <w:rFonts w:hint="default" w:ascii="Times New Roman" w:hAnsi="Times New Roman" w:eastAsia="宋体" w:cs="Times New Roman"/>
          <w:color w:val="auto"/>
          <w:kern w:val="0"/>
          <w:sz w:val="24"/>
          <w:szCs w:val="24"/>
          <w:lang w:eastAsia="zh-CN"/>
        </w:rPr>
        <w:t>）</w:t>
      </w:r>
      <w:r>
        <w:rPr>
          <w:rFonts w:hint="eastAsia" w:cs="Times New Roman"/>
          <w:color w:val="auto"/>
          <w:kern w:val="0"/>
          <w:sz w:val="24"/>
          <w:szCs w:val="24"/>
          <w:lang w:eastAsia="zh-CN"/>
        </w:rPr>
        <w:t>、</w:t>
      </w:r>
      <w:r>
        <w:rPr>
          <w:rFonts w:hint="default" w:ascii="Times New Roman" w:hAnsi="Times New Roman" w:eastAsia="宋体" w:cs="Times New Roman"/>
          <w:color w:val="auto"/>
          <w:kern w:val="0"/>
          <w:sz w:val="24"/>
          <w:szCs w:val="24"/>
          <w:lang w:eastAsia="zh-CN"/>
        </w:rPr>
        <w:t>《肥料</w:t>
      </w:r>
      <w:r>
        <w:rPr>
          <w:rFonts w:hint="default" w:ascii="Times New Roman" w:hAnsi="Times New Roman" w:eastAsia="宋体" w:cs="Times New Roman"/>
          <w:color w:val="auto"/>
          <w:kern w:val="0"/>
          <w:sz w:val="24"/>
          <w:szCs w:val="24"/>
          <w:lang w:val="en-US" w:eastAsia="zh-CN"/>
        </w:rPr>
        <w:t>合理使用准则 通则</w:t>
      </w:r>
      <w:r>
        <w:rPr>
          <w:rFonts w:hint="default" w:ascii="Times New Roman" w:hAnsi="Times New Roman" w:eastAsia="宋体" w:cs="Times New Roman"/>
          <w:color w:val="auto"/>
          <w:kern w:val="0"/>
          <w:sz w:val="24"/>
          <w:szCs w:val="24"/>
          <w:lang w:eastAsia="zh-CN"/>
        </w:rPr>
        <w:t>》（NY/T</w:t>
      </w:r>
      <w:r>
        <w:rPr>
          <w:rFonts w:hint="default" w:ascii="Times New Roman" w:hAnsi="Times New Roman" w:eastAsia="宋体" w:cs="Times New Roman"/>
          <w:color w:val="auto"/>
          <w:kern w:val="0"/>
          <w:sz w:val="24"/>
          <w:szCs w:val="24"/>
          <w:lang w:val="en-US" w:eastAsia="zh-CN"/>
        </w:rPr>
        <w:t xml:space="preserve"> 496</w:t>
      </w:r>
      <w:r>
        <w:rPr>
          <w:rFonts w:hint="default" w:ascii="Times New Roman" w:hAnsi="Times New Roman" w:eastAsia="宋体" w:cs="Times New Roman"/>
          <w:color w:val="auto"/>
          <w:kern w:val="0"/>
          <w:sz w:val="24"/>
          <w:szCs w:val="24"/>
          <w:lang w:eastAsia="zh-CN"/>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农药安全使用规范 总则</w:t>
      </w:r>
      <w:r>
        <w:rPr>
          <w:rFonts w:hint="eastAsia" w:ascii="宋体" w:hAnsi="宋体" w:eastAsia="宋体" w:cs="宋体"/>
          <w:color w:val="auto"/>
          <w:sz w:val="24"/>
          <w:szCs w:val="24"/>
          <w:lang w:eastAsia="zh-CN"/>
        </w:rPr>
        <w:t>》</w:t>
      </w:r>
      <w:r>
        <w:rPr>
          <w:rFonts w:hint="default" w:ascii="Times New Roman" w:hAnsi="Times New Roman" w:eastAsia="宋体" w:cs="Times New Roman"/>
          <w:color w:val="auto"/>
          <w:sz w:val="24"/>
          <w:szCs w:val="24"/>
          <w:lang w:eastAsia="zh-CN"/>
        </w:rPr>
        <w:t xml:space="preserve">（NY/T </w:t>
      </w:r>
      <w:r>
        <w:rPr>
          <w:rFonts w:hint="default" w:ascii="Times New Roman" w:hAnsi="Times New Roman" w:eastAsia="宋体" w:cs="Times New Roman"/>
          <w:color w:val="auto"/>
          <w:sz w:val="24"/>
          <w:szCs w:val="24"/>
          <w:lang w:val="en-US" w:eastAsia="zh-CN"/>
        </w:rPr>
        <w:t>1276</w:t>
      </w:r>
      <w:r>
        <w:rPr>
          <w:rFonts w:hint="default" w:ascii="Times New Roman" w:hAnsi="Times New Roman" w:eastAsia="宋体" w:cs="Times New Roman"/>
          <w:color w:val="auto"/>
          <w:sz w:val="24"/>
          <w:szCs w:val="24"/>
          <w:lang w:eastAsia="zh-CN"/>
        </w:rPr>
        <w:t>）</w:t>
      </w:r>
      <w:r>
        <w:rPr>
          <w:rFonts w:hint="eastAsia" w:ascii="Times New Roman" w:hAnsi="Times New Roman" w:eastAsia="宋体" w:cs="Times New Roman"/>
          <w:color w:val="auto"/>
          <w:kern w:val="0"/>
          <w:sz w:val="24"/>
          <w:szCs w:val="24"/>
          <w:lang w:eastAsia="zh-CN"/>
        </w:rPr>
        <w:t>、</w:t>
      </w:r>
      <w:r>
        <w:rPr>
          <w:rFonts w:hint="default" w:ascii="Times New Roman" w:hAnsi="Times New Roman" w:eastAsia="宋体" w:cs="Times New Roman"/>
          <w:color w:val="auto"/>
          <w:kern w:val="0"/>
          <w:sz w:val="24"/>
          <w:szCs w:val="24"/>
          <w:lang w:eastAsia="zh-CN"/>
        </w:rPr>
        <w:t>《绿化用杜鹃栽培技术规程》（DB32/T 2576）</w:t>
      </w:r>
      <w:r>
        <w:rPr>
          <w:rFonts w:hint="eastAsia" w:ascii="Times New Roman" w:hAnsi="Times New Roman" w:eastAsia="宋体" w:cs="Times New Roman"/>
          <w:color w:val="auto"/>
          <w:sz w:val="24"/>
          <w:szCs w:val="24"/>
          <w:lang w:val="en-US" w:eastAsia="zh-CN"/>
        </w:rPr>
        <w:t>，</w:t>
      </w:r>
      <w:r>
        <w:rPr>
          <w:rFonts w:hint="default" w:ascii="Times New Roman" w:hAnsi="Times New Roman" w:eastAsia="宋体" w:cs="Times New Roman"/>
          <w:color w:val="auto"/>
          <w:sz w:val="24"/>
          <w:szCs w:val="24"/>
        </w:rPr>
        <w:t>其他没有与有关现行法律、法规和强制性国家标准、行业标准相冲突、矛盾部分。</w:t>
      </w:r>
      <w:bookmarkStart w:id="2" w:name="_GoBack"/>
      <w:bookmarkEnd w:id="2"/>
    </w:p>
    <w:p w14:paraId="4387F277">
      <w:pPr>
        <w:spacing w:line="360" w:lineRule="auto"/>
        <w:outlineLvl w:val="0"/>
        <w:rPr>
          <w:rFonts w:hint="eastAsia" w:ascii="黑体" w:hAnsi="黑体" w:eastAsia="黑体" w:cs="黑体"/>
          <w:b w:val="0"/>
          <w:bCs/>
          <w:sz w:val="24"/>
          <w:szCs w:val="24"/>
        </w:rPr>
      </w:pPr>
      <w:r>
        <w:rPr>
          <w:rFonts w:hint="eastAsia" w:ascii="黑体" w:hAnsi="黑体" w:eastAsia="黑体" w:cs="黑体"/>
          <w:b w:val="0"/>
          <w:bCs/>
          <w:sz w:val="24"/>
          <w:szCs w:val="24"/>
        </w:rPr>
        <w:t>七、</w:t>
      </w:r>
      <w:r>
        <w:rPr>
          <w:rFonts w:hint="eastAsia" w:ascii="黑体" w:hAnsi="黑体" w:eastAsia="黑体" w:cs="黑体"/>
          <w:b w:val="0"/>
          <w:bCs/>
          <w:sz w:val="24"/>
          <w:szCs w:val="24"/>
          <w:lang w:val="en-US" w:eastAsia="zh-CN"/>
        </w:rPr>
        <w:t>推广实施</w:t>
      </w:r>
      <w:r>
        <w:rPr>
          <w:rFonts w:hint="eastAsia" w:ascii="黑体" w:hAnsi="黑体" w:eastAsia="黑体" w:cs="黑体"/>
          <w:b w:val="0"/>
          <w:bCs/>
          <w:sz w:val="24"/>
          <w:szCs w:val="24"/>
        </w:rPr>
        <w:t>建议</w:t>
      </w:r>
    </w:p>
    <w:p w14:paraId="1ABC851B">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建议在本标准发布后，</w:t>
      </w:r>
      <w:r>
        <w:rPr>
          <w:rFonts w:hint="eastAsia" w:ascii="宋体" w:hAnsi="宋体" w:eastAsia="宋体" w:cs="宋体"/>
          <w:sz w:val="24"/>
          <w:szCs w:val="24"/>
          <w:lang w:val="en-US" w:eastAsia="zh-CN"/>
        </w:rPr>
        <w:t>我国应大力推广</w:t>
      </w:r>
      <w:r>
        <w:rPr>
          <w:rFonts w:hint="eastAsia" w:ascii="宋体" w:hAnsi="宋体" w:cs="宋体"/>
          <w:sz w:val="24"/>
          <w:szCs w:val="24"/>
          <w:lang w:val="en-US" w:eastAsia="zh-CN"/>
        </w:rPr>
        <w:t>切花杜鹃</w:t>
      </w:r>
      <w:r>
        <w:rPr>
          <w:rFonts w:hint="eastAsia" w:ascii="宋体" w:hAnsi="宋体" w:eastAsia="宋体" w:cs="宋体"/>
          <w:sz w:val="24"/>
          <w:szCs w:val="24"/>
          <w:lang w:val="en-US" w:eastAsia="zh-CN"/>
        </w:rPr>
        <w:t>的观赏与应用价值，并提高对野生杜鹃花资源保护的意识。同时，应规范</w:t>
      </w:r>
      <w:r>
        <w:rPr>
          <w:rFonts w:hint="eastAsia" w:ascii="宋体" w:hAnsi="宋体" w:cs="宋体"/>
          <w:sz w:val="24"/>
          <w:szCs w:val="24"/>
          <w:lang w:val="en-US" w:eastAsia="zh-CN"/>
        </w:rPr>
        <w:t>切花杜鹃</w:t>
      </w:r>
      <w:r>
        <w:rPr>
          <w:rFonts w:hint="eastAsia" w:ascii="宋体" w:hAnsi="宋体" w:eastAsia="宋体" w:cs="宋体"/>
          <w:sz w:val="24"/>
          <w:szCs w:val="24"/>
          <w:lang w:val="en-US" w:eastAsia="zh-CN"/>
        </w:rPr>
        <w:t>的标准化生产技术流程，以</w:t>
      </w:r>
      <w:r>
        <w:rPr>
          <w:rFonts w:hint="eastAsia" w:ascii="宋体" w:hAnsi="宋体" w:eastAsia="宋体" w:cs="宋体"/>
          <w:sz w:val="24"/>
          <w:szCs w:val="24"/>
        </w:rPr>
        <w:t>实现优良</w:t>
      </w:r>
      <w:r>
        <w:rPr>
          <w:rFonts w:hint="eastAsia" w:ascii="宋体" w:hAnsi="宋体" w:cs="宋体"/>
          <w:sz w:val="24"/>
          <w:szCs w:val="24"/>
          <w:lang w:val="en-US" w:eastAsia="zh-CN"/>
        </w:rPr>
        <w:t>切花</w:t>
      </w:r>
      <w:r>
        <w:rPr>
          <w:rFonts w:hint="eastAsia" w:ascii="宋体" w:hAnsi="宋体" w:eastAsia="宋体" w:cs="宋体"/>
          <w:sz w:val="24"/>
          <w:szCs w:val="24"/>
          <w:lang w:val="en-US" w:eastAsia="zh-CN"/>
        </w:rPr>
        <w:t>品种</w:t>
      </w:r>
      <w:r>
        <w:rPr>
          <w:rFonts w:hint="eastAsia" w:ascii="宋体" w:hAnsi="宋体" w:eastAsia="宋体" w:cs="宋体"/>
          <w:sz w:val="24"/>
          <w:szCs w:val="24"/>
        </w:rPr>
        <w:t>的产业化，填补</w:t>
      </w:r>
      <w:r>
        <w:rPr>
          <w:rFonts w:hint="eastAsia" w:ascii="宋体" w:hAnsi="宋体" w:eastAsia="宋体" w:cs="宋体"/>
          <w:sz w:val="24"/>
          <w:szCs w:val="24"/>
          <w:lang w:val="en-US" w:eastAsia="zh-CN"/>
        </w:rPr>
        <w:t>市场上传统名花切花与木本切花的空缺，</w:t>
      </w:r>
      <w:r>
        <w:rPr>
          <w:rFonts w:hint="eastAsia" w:ascii="宋体" w:hAnsi="宋体" w:eastAsia="宋体" w:cs="宋体"/>
          <w:sz w:val="24"/>
          <w:szCs w:val="24"/>
        </w:rPr>
        <w:t>满足</w:t>
      </w:r>
      <w:r>
        <w:rPr>
          <w:rFonts w:hint="eastAsia" w:ascii="宋体" w:hAnsi="宋体" w:eastAsia="宋体" w:cs="宋体"/>
          <w:sz w:val="24"/>
          <w:szCs w:val="24"/>
          <w:lang w:val="en-US" w:eastAsia="zh-CN"/>
        </w:rPr>
        <w:t>消费者对鲜切花不断增长的消费需求与精神需求</w:t>
      </w:r>
      <w:r>
        <w:rPr>
          <w:rFonts w:hint="eastAsia" w:ascii="宋体" w:hAnsi="宋体" w:eastAsia="宋体" w:cs="宋体"/>
          <w:sz w:val="24"/>
          <w:szCs w:val="24"/>
        </w:rPr>
        <w:t>。</w:t>
      </w:r>
      <w:r>
        <w:rPr>
          <w:rFonts w:hint="eastAsia" w:ascii="宋体" w:hAnsi="宋体" w:eastAsia="宋体" w:cs="宋体"/>
          <w:sz w:val="24"/>
          <w:szCs w:val="24"/>
          <w:lang w:val="en-US" w:eastAsia="zh-CN"/>
        </w:rPr>
        <w:t>特别针对江苏及周边地区的杜鹃花生产企业和个体种植者，进行重点宣传和技术培训。此外，应促进</w:t>
      </w:r>
      <w:r>
        <w:rPr>
          <w:rFonts w:hint="eastAsia" w:ascii="宋体" w:hAnsi="宋体" w:eastAsia="宋体" w:cs="宋体"/>
          <w:color w:val="000000"/>
          <w:sz w:val="24"/>
          <w:szCs w:val="24"/>
        </w:rPr>
        <w:t>行业内相关单位</w:t>
      </w:r>
      <w:r>
        <w:rPr>
          <w:rFonts w:hint="eastAsia" w:ascii="宋体" w:hAnsi="宋体" w:eastAsia="宋体" w:cs="宋体"/>
          <w:color w:val="000000"/>
          <w:sz w:val="24"/>
          <w:szCs w:val="24"/>
          <w:lang w:val="en-US" w:eastAsia="zh-CN"/>
        </w:rPr>
        <w:t>的交流与</w:t>
      </w:r>
      <w:r>
        <w:rPr>
          <w:rFonts w:hint="eastAsia" w:ascii="宋体" w:hAnsi="宋体" w:eastAsia="宋体" w:cs="宋体"/>
          <w:color w:val="000000"/>
          <w:sz w:val="24"/>
          <w:szCs w:val="24"/>
        </w:rPr>
        <w:t>学习</w:t>
      </w:r>
      <w:r>
        <w:rPr>
          <w:rFonts w:hint="eastAsia" w:ascii="宋体" w:hAnsi="宋体" w:eastAsia="宋体" w:cs="宋体"/>
          <w:sz w:val="24"/>
          <w:szCs w:val="24"/>
          <w:lang w:val="en-US" w:eastAsia="zh-CN"/>
        </w:rPr>
        <w:t>，并</w:t>
      </w:r>
      <w:r>
        <w:rPr>
          <w:rFonts w:hint="eastAsia" w:ascii="宋体" w:hAnsi="宋体" w:eastAsia="宋体" w:cs="宋体"/>
          <w:color w:val="000000"/>
          <w:sz w:val="24"/>
          <w:szCs w:val="24"/>
          <w:lang w:val="en-US" w:eastAsia="zh-CN"/>
        </w:rPr>
        <w:t>在</w:t>
      </w:r>
      <w:r>
        <w:rPr>
          <w:rFonts w:hint="eastAsia" w:ascii="宋体" w:hAnsi="宋体" w:eastAsia="宋体" w:cs="宋体"/>
          <w:color w:val="000000"/>
          <w:sz w:val="24"/>
          <w:szCs w:val="24"/>
        </w:rPr>
        <w:t>标准应用成效显著的单位</w:t>
      </w:r>
      <w:r>
        <w:rPr>
          <w:rFonts w:hint="eastAsia" w:ascii="宋体" w:hAnsi="宋体" w:eastAsia="宋体" w:cs="宋体"/>
          <w:color w:val="000000"/>
          <w:sz w:val="24"/>
          <w:szCs w:val="24"/>
          <w:lang w:val="en-US" w:eastAsia="zh-CN"/>
        </w:rPr>
        <w:t>开展企业示范</w:t>
      </w:r>
      <w:r>
        <w:rPr>
          <w:rFonts w:hint="eastAsia" w:ascii="宋体" w:hAnsi="宋体" w:eastAsia="宋体" w:cs="宋体"/>
          <w:sz w:val="24"/>
          <w:szCs w:val="24"/>
          <w:lang w:val="en-US" w:eastAsia="zh-CN"/>
        </w:rPr>
        <w:t>，推广技术，以推动</w:t>
      </w:r>
      <w:r>
        <w:rPr>
          <w:rFonts w:hint="eastAsia" w:ascii="宋体" w:hAnsi="宋体" w:cs="宋体"/>
          <w:sz w:val="24"/>
          <w:szCs w:val="24"/>
          <w:lang w:val="en-US" w:eastAsia="zh-CN"/>
        </w:rPr>
        <w:t>切花杜鹃的</w:t>
      </w:r>
      <w:r>
        <w:rPr>
          <w:rFonts w:hint="eastAsia" w:ascii="宋体" w:hAnsi="宋体" w:eastAsia="宋体" w:cs="宋体"/>
          <w:sz w:val="24"/>
          <w:szCs w:val="24"/>
          <w:lang w:val="en-US" w:eastAsia="zh-CN"/>
        </w:rPr>
        <w:t>产业化进程，创造积极的社会经济效益和生态效益。</w:t>
      </w:r>
    </w:p>
    <w:p w14:paraId="01CE7EB2">
      <w:pPr>
        <w:numPr>
          <w:ilvl w:val="0"/>
          <w:numId w:val="0"/>
        </w:numPr>
        <w:spacing w:line="360" w:lineRule="auto"/>
        <w:outlineLvl w:val="0"/>
        <w:rPr>
          <w:rFonts w:hint="eastAsia" w:eastAsia="黑体"/>
          <w:sz w:val="24"/>
          <w:lang w:val="en-US" w:eastAsia="zh-CN"/>
        </w:rPr>
      </w:pPr>
      <w:r>
        <w:rPr>
          <w:rFonts w:hint="eastAsia" w:eastAsia="黑体"/>
          <w:sz w:val="24"/>
          <w:lang w:val="en-US" w:eastAsia="zh-CN"/>
        </w:rPr>
        <w:t>八、起草单位和起草人员信息及分工</w:t>
      </w:r>
    </w:p>
    <w:p w14:paraId="282D7E3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1"/>
        <w:rPr>
          <w:rFonts w:hint="default" w:eastAsia="黑体"/>
          <w:sz w:val="24"/>
          <w:lang w:val="en-US" w:eastAsia="zh-CN"/>
        </w:rPr>
      </w:pPr>
      <w:r>
        <w:rPr>
          <w:rFonts w:hint="eastAsia" w:ascii="黑体" w:hAnsi="宋体" w:eastAsia="黑体"/>
          <w:sz w:val="24"/>
          <w:lang w:val="en-US" w:eastAsia="zh-CN"/>
        </w:rPr>
        <w:t>1、起草单位</w:t>
      </w:r>
    </w:p>
    <w:p w14:paraId="1EECF9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本项目由南京林业大学</w:t>
      </w:r>
      <w:r>
        <w:rPr>
          <w:rFonts w:hint="default" w:ascii="Times New Roman" w:hAnsi="Times New Roman" w:eastAsia="宋体" w:cs="Times New Roman"/>
          <w:sz w:val="24"/>
          <w:szCs w:val="24"/>
          <w:lang w:val="en-US" w:eastAsia="zh-CN"/>
        </w:rPr>
        <w:t>与江苏裕华杜鹃种植有限公司共同</w:t>
      </w:r>
      <w:r>
        <w:rPr>
          <w:rFonts w:hint="default" w:ascii="Times New Roman" w:hAnsi="Times New Roman" w:eastAsia="宋体" w:cs="Times New Roman"/>
          <w:sz w:val="24"/>
          <w:szCs w:val="24"/>
        </w:rPr>
        <w:t>起草，完成。</w:t>
      </w:r>
    </w:p>
    <w:p w14:paraId="021F8F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rPr>
      </w:pPr>
      <w:r>
        <w:rPr>
          <w:rFonts w:hint="default" w:ascii="Times New Roman" w:hAnsi="Times New Roman" w:eastAsia="宋体" w:cs="Times New Roman"/>
          <w:sz w:val="24"/>
          <w:szCs w:val="24"/>
          <w:lang w:val="en-US" w:eastAsia="zh-CN"/>
        </w:rPr>
        <w:t>南京林业大学</w:t>
      </w:r>
      <w:r>
        <w:rPr>
          <w:rFonts w:hint="eastAsia" w:ascii="宋体" w:hAnsi="宋体" w:eastAsia="宋体" w:cs="宋体"/>
          <w:sz w:val="24"/>
          <w:szCs w:val="24"/>
          <w:lang w:val="en-US" w:eastAsia="zh-CN"/>
        </w:rPr>
        <w:t>杜鹃花研究团队负责人耿兴敏主要从事两个方面的研究：（一）杜鹃花栽培繁殖技术和新品种选育研究；（二）鲜切花采后生理与保鲜技术研究，在这两个研究方向都取得较好的研究成果，发表杜鹃花相关研究论文</w:t>
      </w:r>
      <w:r>
        <w:rPr>
          <w:rFonts w:hint="default" w:ascii="Times New Roman" w:hAnsi="Times New Roman" w:eastAsia="宋体" w:cs="Times New Roman"/>
          <w:sz w:val="24"/>
          <w:szCs w:val="24"/>
          <w:lang w:val="en-US" w:eastAsia="zh-CN"/>
        </w:rPr>
        <w:t>30</w:t>
      </w:r>
      <w:r>
        <w:rPr>
          <w:rFonts w:hint="eastAsia" w:ascii="宋体" w:hAnsi="宋体" w:eastAsia="宋体" w:cs="宋体"/>
          <w:sz w:val="24"/>
          <w:szCs w:val="24"/>
          <w:lang w:val="en-US" w:eastAsia="zh-CN"/>
        </w:rPr>
        <w:t>余篇，鲜切花保鲜相关研究论文</w:t>
      </w:r>
      <w:r>
        <w:rPr>
          <w:rFonts w:hint="eastAsia" w:ascii="Times New Roman" w:hAnsi="Times New Roman" w:eastAsia="宋体" w:cs="Times New Roman"/>
          <w:sz w:val="24"/>
          <w:szCs w:val="24"/>
          <w:lang w:val="en-US" w:eastAsia="zh-CN"/>
        </w:rPr>
        <w:t>10</w:t>
      </w:r>
      <w:r>
        <w:rPr>
          <w:rFonts w:hint="eastAsia" w:ascii="宋体" w:hAnsi="宋体" w:eastAsia="宋体" w:cs="宋体"/>
          <w:sz w:val="24"/>
          <w:szCs w:val="24"/>
          <w:lang w:val="en-US" w:eastAsia="zh-CN"/>
        </w:rPr>
        <w:t>余篇。曾主持江苏省面上基金“杜鹃属植物耐热性机制与耐热性鉴定指标研究”，制定完成国家林业草原局标准制定项目“马银花容器育苗技术规程（</w:t>
      </w:r>
      <w:r>
        <w:rPr>
          <w:rFonts w:hint="default" w:ascii="Times New Roman" w:hAnsi="Times New Roman" w:eastAsia="宋体" w:cs="Times New Roman"/>
          <w:sz w:val="24"/>
          <w:szCs w:val="24"/>
          <w:lang w:val="en-US" w:eastAsia="zh-CN"/>
        </w:rPr>
        <w:t>LY/T 3270</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2021</w:t>
      </w:r>
      <w:r>
        <w:rPr>
          <w:rFonts w:hint="eastAsia" w:ascii="宋体" w:hAnsi="宋体" w:eastAsia="宋体" w:cs="宋体"/>
          <w:sz w:val="24"/>
          <w:szCs w:val="24"/>
          <w:lang w:val="en-US" w:eastAsia="zh-CN"/>
        </w:rPr>
        <w:t>）”等杜鹃相关研究课题。作为主编，编写完成《杜鹃花》专著</w:t>
      </w:r>
      <w:r>
        <w:rPr>
          <w:rFonts w:hint="default" w:ascii="Times New Roman" w:hAnsi="Times New Roman" w:eastAsia="宋体" w:cs="Times New Roman"/>
          <w:sz w:val="24"/>
          <w:szCs w:val="24"/>
          <w:lang w:val="en-US" w:eastAsia="zh-CN"/>
        </w:rPr>
        <w:t>1部（东南大学出版社）。杜鹃花组培技术发明专利2项，杜鹃鲜切花保鲜技术发明专利1项。杜鹃花研究成果</w:t>
      </w:r>
      <w:r>
        <w:rPr>
          <w:rFonts w:hint="eastAsia" w:ascii="Times New Roman" w:hAnsi="Times New Roman" w:eastAsia="宋体" w:cs="Times New Roman"/>
          <w:sz w:val="24"/>
          <w:szCs w:val="24"/>
          <w:lang w:val="en-US" w:eastAsia="zh-CN"/>
        </w:rPr>
        <w:t>在</w:t>
      </w:r>
      <w:r>
        <w:rPr>
          <w:rFonts w:hint="default" w:ascii="Times New Roman" w:hAnsi="Times New Roman" w:eastAsia="宋体" w:cs="Times New Roman"/>
          <w:sz w:val="24"/>
          <w:szCs w:val="24"/>
          <w:lang w:val="en-US" w:eastAsia="zh-CN"/>
        </w:rPr>
        <w:t>2019年获贵州省科技进步一等奖（特色杜鹃种质资源培育关键技术创新与应用，个人排名：2/9）。项目团队主要成员祝遵凌，入选江苏省333高层次人才培养工程第二层次中青年领军人才、江苏省高校青蓝工程学术带头人、江苏省333工程学术带头人、江苏省六大人才高峰等人才计划，国家自然科学基金项目评审专家、国家科技奖评审专家、中国风景园林学会风景园林专家。项目团队围绕</w:t>
      </w:r>
      <w:r>
        <w:rPr>
          <w:rFonts w:hint="eastAsia" w:cs="Times New Roman"/>
          <w:sz w:val="24"/>
          <w:szCs w:val="24"/>
          <w:lang w:val="en-US" w:eastAsia="zh-CN"/>
        </w:rPr>
        <w:t>切花杜鹃</w:t>
      </w:r>
      <w:r>
        <w:rPr>
          <w:rFonts w:hint="default" w:ascii="Times New Roman" w:hAnsi="Times New Roman" w:eastAsia="宋体" w:cs="Times New Roman"/>
          <w:sz w:val="24"/>
          <w:szCs w:val="24"/>
          <w:lang w:val="en-US" w:eastAsia="zh-CN"/>
        </w:rPr>
        <w:t>产品的开发，对杜鹃花文化内涵、切花杜鹃应用价值以及市场需求进行了调研分析，相关成果已发表论文3篇。</w:t>
      </w:r>
    </w:p>
    <w:p w14:paraId="3FE4D4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default" w:ascii="Times New Roman" w:hAnsi="Times New Roman" w:eastAsia="宋体" w:cs="Times New Roman"/>
          <w:sz w:val="24"/>
          <w:szCs w:val="24"/>
          <w:lang w:val="en-US" w:eastAsia="zh-CN"/>
        </w:rPr>
        <w:t>江苏裕华杜鹃种植有限公司专业从事杜鹃花种植、研发，其种植规模、专业化程度在国内具有一定影响力。公司是江苏省农科院东鹃科研种植基地，也是江苏省</w:t>
      </w:r>
      <w:r>
        <w:rPr>
          <w:rFonts w:hint="eastAsia" w:cs="Times New Roman"/>
          <w:sz w:val="24"/>
          <w:szCs w:val="24"/>
          <w:lang w:val="en-US" w:eastAsia="zh-CN"/>
        </w:rPr>
        <w:t>农业农村厅</w:t>
      </w:r>
      <w:r>
        <w:rPr>
          <w:rFonts w:hint="default" w:ascii="Times New Roman" w:hAnsi="Times New Roman" w:eastAsia="宋体" w:cs="Times New Roman"/>
          <w:sz w:val="24"/>
          <w:szCs w:val="24"/>
          <w:lang w:val="en-US" w:eastAsia="zh-CN"/>
        </w:rPr>
        <w:t>颁发的</w:t>
      </w:r>
      <w:r>
        <w:rPr>
          <w:rFonts w:hint="eastAsia" w:cs="Times New Roman"/>
          <w:sz w:val="24"/>
          <w:szCs w:val="24"/>
          <w:lang w:val="en-US" w:eastAsia="zh-CN"/>
        </w:rPr>
        <w:t>“</w:t>
      </w:r>
      <w:r>
        <w:rPr>
          <w:rFonts w:hint="default" w:ascii="Times New Roman" w:hAnsi="Times New Roman" w:eastAsia="宋体" w:cs="Times New Roman"/>
          <w:sz w:val="24"/>
          <w:szCs w:val="24"/>
          <w:lang w:val="en-US" w:eastAsia="zh-CN"/>
        </w:rPr>
        <w:t>杜鹃花林木种质资源库</w:t>
      </w:r>
      <w:r>
        <w:rPr>
          <w:rFonts w:hint="eastAsia" w:cs="Times New Roman"/>
          <w:sz w:val="24"/>
          <w:szCs w:val="24"/>
          <w:lang w:val="en-US" w:eastAsia="zh-CN"/>
        </w:rPr>
        <w:t>”</w:t>
      </w:r>
      <w:r>
        <w:rPr>
          <w:rFonts w:hint="default" w:ascii="Times New Roman" w:hAnsi="Times New Roman" w:eastAsia="宋体" w:cs="Times New Roman"/>
          <w:sz w:val="24"/>
          <w:szCs w:val="24"/>
          <w:lang w:val="en-US" w:eastAsia="zh-CN"/>
        </w:rPr>
        <w:t>及中国花卉协会杜鹃花分会常务理事单位。</w:t>
      </w:r>
      <w:r>
        <w:rPr>
          <w:rFonts w:hint="eastAsia" w:ascii="Times New Roman" w:hAnsi="Times New Roman" w:eastAsia="宋体" w:cs="Times New Roman"/>
          <w:sz w:val="24"/>
          <w:szCs w:val="24"/>
          <w:lang w:val="en-US" w:eastAsia="zh-CN"/>
        </w:rPr>
        <w:t>其</w:t>
      </w:r>
      <w:r>
        <w:rPr>
          <w:rFonts w:hint="default" w:ascii="Times New Roman" w:hAnsi="Times New Roman" w:eastAsia="宋体" w:cs="Times New Roman"/>
          <w:sz w:val="24"/>
          <w:szCs w:val="24"/>
          <w:lang w:val="en-US" w:eastAsia="zh-CN"/>
        </w:rPr>
        <w:t>总部占地12万多平方米，</w:t>
      </w:r>
      <w:r>
        <w:rPr>
          <w:rFonts w:hint="eastAsia" w:ascii="宋体" w:hAnsi="宋体" w:eastAsia="宋体" w:cs="宋体"/>
          <w:sz w:val="24"/>
          <w:szCs w:val="24"/>
          <w:lang w:val="en-US" w:eastAsia="zh-CN"/>
        </w:rPr>
        <w:t>智能温室设施先进，培育了庞大的杜鹃花种群，包括东鹃小苗、盆花及地栽植株，彰显了公司的种植实力与规模</w:t>
      </w:r>
      <w:r>
        <w:rPr>
          <w:rFonts w:hint="default" w:ascii="Times New Roman" w:hAnsi="Times New Roman" w:eastAsia="宋体" w:cs="Times New Roman"/>
          <w:sz w:val="24"/>
          <w:szCs w:val="24"/>
          <w:lang w:val="en-US" w:eastAsia="zh-CN"/>
        </w:rPr>
        <w:t>。公司第二生产基地位于金坛薛埠，目前种植350亩露地东鹃，品种繁多，规格齐全，长势良好。</w:t>
      </w:r>
      <w:r>
        <w:rPr>
          <w:rFonts w:hint="eastAsia" w:ascii="宋体" w:hAnsi="宋体" w:cs="宋体"/>
          <w:sz w:val="24"/>
          <w:szCs w:val="24"/>
          <w:lang w:val="en-US" w:eastAsia="zh-CN"/>
        </w:rPr>
        <w:t>同时，</w:t>
      </w:r>
      <w:r>
        <w:rPr>
          <w:rFonts w:hint="default" w:ascii="Times New Roman" w:hAnsi="Times New Roman" w:eastAsia="宋体" w:cs="Times New Roman"/>
          <w:sz w:val="24"/>
          <w:szCs w:val="24"/>
          <w:lang w:val="en-US" w:eastAsia="zh-CN"/>
        </w:rPr>
        <w:t>公司</w:t>
      </w:r>
      <w:r>
        <w:rPr>
          <w:rFonts w:hint="eastAsia" w:ascii="宋体" w:hAnsi="宋体" w:cs="宋体"/>
          <w:sz w:val="24"/>
          <w:szCs w:val="24"/>
          <w:lang w:val="en-US" w:eastAsia="zh-CN"/>
        </w:rPr>
        <w:t>与多家科研机构建立紧密合作关系，持续推动花卉品种的深入研发与创新，已成功获得多项省级专利认证的花卉新品种。在科技项目领域，携手各方共同主导了多项省市级重点科研项目，包括中央财政农业科技推广项目——“园林用杜鹃新品种繁育及其工程苗培育技术示范”，江苏省林业三新工程项目——“园林用杜鹃新品种繁育及其模式应用”，以及江苏省林业科技创新与推广项目——“杜鹃花新品种‘蝶舞’、‘蝶恋’工厂化育苗技术及应用推广”。此外，还成功参与了江苏省质量技术监督局2018年农业标准化试点项目——“杜鹃花规模化生产标准化试点”。上述项目均取得了显著成果，充分展示了公司在花卉科技创新领域的实力与贡献。</w:t>
      </w:r>
    </w:p>
    <w:p w14:paraId="60D45834">
      <w:pPr>
        <w:numPr>
          <w:ilvl w:val="0"/>
          <w:numId w:val="5"/>
        </w:numPr>
        <w:spacing w:line="360" w:lineRule="auto"/>
        <w:ind w:left="0" w:leftChars="0" w:firstLine="480" w:firstLineChars="200"/>
        <w:outlineLvl w:val="1"/>
        <w:rPr>
          <w:rFonts w:hint="eastAsia" w:ascii="黑体" w:hAnsi="黑体" w:eastAsia="黑体" w:cs="黑体"/>
          <w:b w:val="0"/>
          <w:bCs/>
          <w:sz w:val="24"/>
          <w:szCs w:val="24"/>
          <w:lang w:val="en-US" w:eastAsia="zh-CN"/>
        </w:rPr>
      </w:pPr>
      <w:r>
        <w:rPr>
          <w:rFonts w:hint="eastAsia" w:ascii="黑体" w:hAnsi="黑体" w:eastAsia="黑体" w:cs="黑体"/>
          <w:b w:val="0"/>
          <w:bCs/>
          <w:sz w:val="24"/>
          <w:szCs w:val="24"/>
          <w:lang w:val="en-US" w:eastAsia="zh-CN"/>
        </w:rPr>
        <w:t>起草人员信息及分工</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548"/>
        <w:gridCol w:w="1067"/>
        <w:gridCol w:w="1388"/>
        <w:gridCol w:w="1493"/>
        <w:gridCol w:w="746"/>
        <w:gridCol w:w="453"/>
        <w:gridCol w:w="2025"/>
      </w:tblGrid>
      <w:tr w14:paraId="2128E3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69" w:hRule="atLeast"/>
          <w:jc w:val="center"/>
        </w:trPr>
        <w:tc>
          <w:tcPr>
            <w:tcW w:w="0" w:type="auto"/>
            <w:tcBorders>
              <w:tl2br w:val="nil"/>
              <w:tr2bl w:val="nil"/>
            </w:tcBorders>
            <w:noWrap w:val="0"/>
            <w:vAlign w:val="center"/>
          </w:tcPr>
          <w:p w14:paraId="23BE7883">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制修订标准负责人</w:t>
            </w:r>
          </w:p>
        </w:tc>
        <w:tc>
          <w:tcPr>
            <w:tcW w:w="0" w:type="auto"/>
            <w:tcBorders>
              <w:tl2br w:val="nil"/>
              <w:tr2bl w:val="nil"/>
            </w:tcBorders>
            <w:noWrap w:val="0"/>
            <w:vAlign w:val="center"/>
          </w:tcPr>
          <w:p w14:paraId="3701FD17">
            <w:pPr>
              <w:spacing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en-US" w:eastAsia="zh-CN"/>
              </w:rPr>
              <w:t>耿兴敏</w:t>
            </w:r>
          </w:p>
        </w:tc>
        <w:tc>
          <w:tcPr>
            <w:tcW w:w="0" w:type="auto"/>
            <w:tcBorders>
              <w:tl2br w:val="nil"/>
              <w:tr2bl w:val="nil"/>
            </w:tcBorders>
            <w:noWrap w:val="0"/>
            <w:vAlign w:val="center"/>
          </w:tcPr>
          <w:p w14:paraId="63DDAC82">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性别</w:t>
            </w:r>
          </w:p>
        </w:tc>
        <w:tc>
          <w:tcPr>
            <w:tcW w:w="0" w:type="auto"/>
            <w:tcBorders>
              <w:tl2br w:val="nil"/>
              <w:tr2bl w:val="nil"/>
            </w:tcBorders>
            <w:noWrap w:val="0"/>
            <w:vAlign w:val="center"/>
          </w:tcPr>
          <w:p w14:paraId="43A4221A">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女</w:t>
            </w:r>
          </w:p>
        </w:tc>
        <w:tc>
          <w:tcPr>
            <w:tcW w:w="0" w:type="auto"/>
            <w:gridSpan w:val="2"/>
            <w:tcBorders>
              <w:tl2br w:val="nil"/>
              <w:tr2bl w:val="nil"/>
            </w:tcBorders>
            <w:noWrap w:val="0"/>
            <w:vAlign w:val="center"/>
          </w:tcPr>
          <w:p w14:paraId="230D147D">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年龄</w:t>
            </w:r>
          </w:p>
        </w:tc>
        <w:tc>
          <w:tcPr>
            <w:tcW w:w="0" w:type="auto"/>
            <w:tcBorders>
              <w:tl2br w:val="nil"/>
              <w:tr2bl w:val="nil"/>
            </w:tcBorders>
            <w:noWrap w:val="0"/>
            <w:vAlign w:val="center"/>
          </w:tcPr>
          <w:p w14:paraId="016FBB8E">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4</w:t>
            </w:r>
            <w:r>
              <w:rPr>
                <w:rFonts w:hint="default" w:ascii="Times New Roman" w:hAnsi="Times New Roman" w:eastAsia="宋体" w:cs="Times New Roman"/>
                <w:sz w:val="21"/>
                <w:szCs w:val="21"/>
                <w:lang w:val="en-US" w:eastAsia="zh-CN"/>
              </w:rPr>
              <w:t>8</w:t>
            </w:r>
          </w:p>
        </w:tc>
      </w:tr>
      <w:tr w14:paraId="6BF1A3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0" w:type="auto"/>
            <w:tcBorders>
              <w:tl2br w:val="nil"/>
              <w:tr2bl w:val="nil"/>
            </w:tcBorders>
            <w:noWrap w:val="0"/>
            <w:vAlign w:val="center"/>
          </w:tcPr>
          <w:p w14:paraId="67F2870E">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专  业</w:t>
            </w:r>
          </w:p>
        </w:tc>
        <w:tc>
          <w:tcPr>
            <w:tcW w:w="0" w:type="auto"/>
            <w:tcBorders>
              <w:tl2br w:val="nil"/>
              <w:tr2bl w:val="nil"/>
            </w:tcBorders>
            <w:noWrap w:val="0"/>
            <w:vAlign w:val="center"/>
          </w:tcPr>
          <w:p w14:paraId="63B62DA8">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园林植物</w:t>
            </w:r>
          </w:p>
        </w:tc>
        <w:tc>
          <w:tcPr>
            <w:tcW w:w="0" w:type="auto"/>
            <w:tcBorders>
              <w:tl2br w:val="nil"/>
              <w:tr2bl w:val="nil"/>
            </w:tcBorders>
            <w:noWrap w:val="0"/>
            <w:vAlign w:val="center"/>
          </w:tcPr>
          <w:p w14:paraId="048DB621">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职务和职称</w:t>
            </w:r>
          </w:p>
        </w:tc>
        <w:tc>
          <w:tcPr>
            <w:tcW w:w="0" w:type="auto"/>
            <w:tcBorders>
              <w:tl2br w:val="nil"/>
              <w:tr2bl w:val="nil"/>
            </w:tcBorders>
            <w:noWrap w:val="0"/>
            <w:vAlign w:val="center"/>
          </w:tcPr>
          <w:p w14:paraId="57E16A29">
            <w:pPr>
              <w:spacing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en-US" w:eastAsia="zh-CN"/>
              </w:rPr>
              <w:t>教授</w:t>
            </w:r>
          </w:p>
        </w:tc>
        <w:tc>
          <w:tcPr>
            <w:tcW w:w="0" w:type="auto"/>
            <w:gridSpan w:val="2"/>
            <w:tcBorders>
              <w:tl2br w:val="nil"/>
              <w:tr2bl w:val="nil"/>
            </w:tcBorders>
            <w:noWrap w:val="0"/>
            <w:vAlign w:val="center"/>
          </w:tcPr>
          <w:p w14:paraId="524FE96A">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电子邮箱</w:t>
            </w:r>
          </w:p>
        </w:tc>
        <w:tc>
          <w:tcPr>
            <w:tcW w:w="0" w:type="auto"/>
            <w:tcBorders>
              <w:tl2br w:val="nil"/>
              <w:tr2bl w:val="nil"/>
            </w:tcBorders>
            <w:noWrap w:val="0"/>
            <w:vAlign w:val="center"/>
          </w:tcPr>
          <w:p w14:paraId="4CE01683">
            <w:pPr>
              <w:keepNext w:val="0"/>
              <w:keepLines w:val="0"/>
              <w:widowControl/>
              <w:suppressLineNumbers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xmgeng76@163.com</w:t>
            </w:r>
          </w:p>
        </w:tc>
      </w:tr>
      <w:tr w14:paraId="341E87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26" w:hRule="atLeast"/>
          <w:jc w:val="center"/>
        </w:trPr>
        <w:tc>
          <w:tcPr>
            <w:tcW w:w="0" w:type="auto"/>
            <w:tcBorders>
              <w:tl2br w:val="nil"/>
              <w:tr2bl w:val="nil"/>
            </w:tcBorders>
            <w:noWrap w:val="0"/>
            <w:vAlign w:val="center"/>
          </w:tcPr>
          <w:p w14:paraId="6EBA3E8E">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通讯地址</w:t>
            </w:r>
          </w:p>
        </w:tc>
        <w:tc>
          <w:tcPr>
            <w:tcW w:w="0" w:type="auto"/>
            <w:gridSpan w:val="2"/>
            <w:tcBorders>
              <w:tl2br w:val="nil"/>
              <w:tr2bl w:val="nil"/>
            </w:tcBorders>
            <w:noWrap w:val="0"/>
            <w:vAlign w:val="center"/>
          </w:tcPr>
          <w:p w14:paraId="3B378EF7">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南京市玄武区龙蟠路159号</w:t>
            </w:r>
          </w:p>
        </w:tc>
        <w:tc>
          <w:tcPr>
            <w:tcW w:w="0" w:type="auto"/>
            <w:tcBorders>
              <w:tl2br w:val="nil"/>
              <w:tr2bl w:val="nil"/>
            </w:tcBorders>
            <w:noWrap w:val="0"/>
            <w:vAlign w:val="center"/>
          </w:tcPr>
          <w:p w14:paraId="1916E248">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联系电话</w:t>
            </w:r>
          </w:p>
        </w:tc>
        <w:tc>
          <w:tcPr>
            <w:tcW w:w="0" w:type="auto"/>
            <w:gridSpan w:val="3"/>
            <w:tcBorders>
              <w:tl2br w:val="nil"/>
              <w:tr2bl w:val="nil"/>
            </w:tcBorders>
            <w:noWrap w:val="0"/>
            <w:vAlign w:val="center"/>
          </w:tcPr>
          <w:p w14:paraId="5B242B90">
            <w:pPr>
              <w:keepNext w:val="0"/>
              <w:keepLines w:val="0"/>
              <w:widowControl/>
              <w:suppressLineNumbers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color w:val="000000"/>
                <w:kern w:val="0"/>
                <w:sz w:val="21"/>
                <w:szCs w:val="21"/>
                <w:lang w:val="en-US" w:eastAsia="zh-CN" w:bidi="ar"/>
              </w:rPr>
              <w:t>15951902586</w:t>
            </w:r>
          </w:p>
        </w:tc>
      </w:tr>
      <w:tr w14:paraId="7394B5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23" w:hRule="atLeast"/>
          <w:jc w:val="center"/>
        </w:trPr>
        <w:tc>
          <w:tcPr>
            <w:tcW w:w="0" w:type="auto"/>
            <w:gridSpan w:val="5"/>
            <w:tcBorders>
              <w:tl2br w:val="nil"/>
              <w:tr2bl w:val="nil"/>
            </w:tcBorders>
            <w:noWrap w:val="0"/>
            <w:vAlign w:val="center"/>
          </w:tcPr>
          <w:p w14:paraId="01E85363">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参与标准制修订人员情况</w:t>
            </w:r>
          </w:p>
        </w:tc>
        <w:tc>
          <w:tcPr>
            <w:tcW w:w="0" w:type="auto"/>
            <w:gridSpan w:val="2"/>
            <w:vMerge w:val="restart"/>
            <w:tcBorders>
              <w:tl2br w:val="nil"/>
              <w:tr2bl w:val="nil"/>
            </w:tcBorders>
            <w:noWrap w:val="0"/>
            <w:vAlign w:val="center"/>
          </w:tcPr>
          <w:p w14:paraId="0B001CBD">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分工</w:t>
            </w:r>
          </w:p>
        </w:tc>
      </w:tr>
      <w:tr w14:paraId="4824A1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2" w:hRule="atLeast"/>
          <w:jc w:val="center"/>
        </w:trPr>
        <w:tc>
          <w:tcPr>
            <w:tcW w:w="0" w:type="auto"/>
            <w:tcBorders>
              <w:tl2br w:val="nil"/>
              <w:tr2bl w:val="nil"/>
            </w:tcBorders>
            <w:noWrap w:val="0"/>
            <w:vAlign w:val="center"/>
          </w:tcPr>
          <w:p w14:paraId="291067AA">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姓名</w:t>
            </w:r>
          </w:p>
        </w:tc>
        <w:tc>
          <w:tcPr>
            <w:tcW w:w="0" w:type="auto"/>
            <w:tcBorders>
              <w:tl2br w:val="nil"/>
              <w:tr2bl w:val="nil"/>
            </w:tcBorders>
            <w:noWrap w:val="0"/>
            <w:vAlign w:val="center"/>
          </w:tcPr>
          <w:p w14:paraId="73556EBD">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职称</w:t>
            </w:r>
          </w:p>
        </w:tc>
        <w:tc>
          <w:tcPr>
            <w:tcW w:w="0" w:type="auto"/>
            <w:tcBorders>
              <w:tl2br w:val="nil"/>
              <w:tr2bl w:val="nil"/>
            </w:tcBorders>
            <w:noWrap w:val="0"/>
            <w:vAlign w:val="center"/>
          </w:tcPr>
          <w:p w14:paraId="6EE01636">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专业</w:t>
            </w:r>
          </w:p>
        </w:tc>
        <w:tc>
          <w:tcPr>
            <w:tcW w:w="0" w:type="auto"/>
            <w:gridSpan w:val="2"/>
            <w:tcBorders>
              <w:tl2br w:val="nil"/>
              <w:tr2bl w:val="nil"/>
            </w:tcBorders>
            <w:noWrap w:val="0"/>
            <w:vAlign w:val="center"/>
          </w:tcPr>
          <w:p w14:paraId="42F84970">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工作单位</w:t>
            </w:r>
          </w:p>
        </w:tc>
        <w:tc>
          <w:tcPr>
            <w:tcW w:w="0" w:type="auto"/>
            <w:gridSpan w:val="2"/>
            <w:vMerge w:val="continue"/>
            <w:tcBorders>
              <w:tl2br w:val="nil"/>
              <w:tr2bl w:val="nil"/>
            </w:tcBorders>
            <w:noWrap w:val="0"/>
            <w:vAlign w:val="center"/>
          </w:tcPr>
          <w:p w14:paraId="6F9A16F2">
            <w:pPr>
              <w:widowControl/>
              <w:spacing w:line="240" w:lineRule="auto"/>
              <w:jc w:val="center"/>
              <w:rPr>
                <w:rFonts w:hint="default" w:ascii="Times New Roman" w:hAnsi="Times New Roman" w:eastAsia="宋体" w:cs="Times New Roman"/>
                <w:sz w:val="21"/>
                <w:szCs w:val="21"/>
              </w:rPr>
            </w:pPr>
          </w:p>
        </w:tc>
      </w:tr>
      <w:tr w14:paraId="60A66B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08" w:hRule="atLeast"/>
          <w:jc w:val="center"/>
        </w:trPr>
        <w:tc>
          <w:tcPr>
            <w:tcW w:w="0" w:type="auto"/>
            <w:tcBorders>
              <w:tl2br w:val="nil"/>
              <w:tr2bl w:val="nil"/>
            </w:tcBorders>
            <w:noWrap w:val="0"/>
            <w:vAlign w:val="center"/>
          </w:tcPr>
          <w:p w14:paraId="37A7A7C7">
            <w:pPr>
              <w:spacing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en-US" w:eastAsia="zh-CN"/>
              </w:rPr>
              <w:t>耿兴敏</w:t>
            </w:r>
          </w:p>
        </w:tc>
        <w:tc>
          <w:tcPr>
            <w:tcW w:w="0" w:type="auto"/>
            <w:tcBorders>
              <w:tl2br w:val="nil"/>
              <w:tr2bl w:val="nil"/>
            </w:tcBorders>
            <w:noWrap w:val="0"/>
            <w:vAlign w:val="center"/>
          </w:tcPr>
          <w:p w14:paraId="3B59DACF">
            <w:pPr>
              <w:spacing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en-US" w:eastAsia="zh-CN"/>
              </w:rPr>
              <w:t>教授</w:t>
            </w:r>
          </w:p>
        </w:tc>
        <w:tc>
          <w:tcPr>
            <w:tcW w:w="0" w:type="auto"/>
            <w:tcBorders>
              <w:tl2br w:val="nil"/>
              <w:tr2bl w:val="nil"/>
            </w:tcBorders>
            <w:noWrap w:val="0"/>
            <w:vAlign w:val="center"/>
          </w:tcPr>
          <w:p w14:paraId="73C607B5">
            <w:pPr>
              <w:spacing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en-US" w:eastAsia="zh-CN"/>
              </w:rPr>
              <w:t>园林植物</w:t>
            </w:r>
          </w:p>
        </w:tc>
        <w:tc>
          <w:tcPr>
            <w:tcW w:w="0" w:type="auto"/>
            <w:gridSpan w:val="2"/>
            <w:tcBorders>
              <w:tl2br w:val="nil"/>
              <w:tr2bl w:val="nil"/>
            </w:tcBorders>
            <w:noWrap w:val="0"/>
            <w:vAlign w:val="center"/>
          </w:tcPr>
          <w:p w14:paraId="520489B8">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南京林业大学</w:t>
            </w:r>
          </w:p>
        </w:tc>
        <w:tc>
          <w:tcPr>
            <w:tcW w:w="0" w:type="auto"/>
            <w:gridSpan w:val="2"/>
            <w:tcBorders>
              <w:tl2br w:val="nil"/>
              <w:tr2bl w:val="nil"/>
            </w:tcBorders>
            <w:noWrap w:val="0"/>
            <w:vAlign w:val="center"/>
          </w:tcPr>
          <w:p w14:paraId="7F9DBE8B">
            <w:pPr>
              <w:spacing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en-US" w:eastAsia="zh-CN"/>
              </w:rPr>
              <w:t>标准制定</w:t>
            </w:r>
          </w:p>
        </w:tc>
      </w:tr>
      <w:tr w14:paraId="73E133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0" w:type="auto"/>
            <w:tcBorders>
              <w:tl2br w:val="nil"/>
              <w:tr2bl w:val="nil"/>
            </w:tcBorders>
            <w:noWrap w:val="0"/>
            <w:vAlign w:val="center"/>
          </w:tcPr>
          <w:p w14:paraId="04B98A4B">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周金良</w:t>
            </w:r>
          </w:p>
        </w:tc>
        <w:tc>
          <w:tcPr>
            <w:tcW w:w="0" w:type="auto"/>
            <w:tcBorders>
              <w:tl2br w:val="nil"/>
              <w:tr2bl w:val="nil"/>
            </w:tcBorders>
            <w:noWrap w:val="0"/>
            <w:vAlign w:val="center"/>
          </w:tcPr>
          <w:p w14:paraId="3BB1DBF4">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高级经济师</w:t>
            </w:r>
          </w:p>
        </w:tc>
        <w:tc>
          <w:tcPr>
            <w:tcW w:w="0" w:type="auto"/>
            <w:tcBorders>
              <w:tl2br w:val="nil"/>
              <w:tr2bl w:val="nil"/>
            </w:tcBorders>
            <w:noWrap w:val="0"/>
            <w:vAlign w:val="center"/>
          </w:tcPr>
          <w:p w14:paraId="4C49EB34">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企业经营管理</w:t>
            </w:r>
          </w:p>
        </w:tc>
        <w:tc>
          <w:tcPr>
            <w:tcW w:w="0" w:type="auto"/>
            <w:gridSpan w:val="2"/>
            <w:tcBorders>
              <w:tl2br w:val="nil"/>
              <w:tr2bl w:val="nil"/>
            </w:tcBorders>
            <w:noWrap w:val="0"/>
            <w:vAlign w:val="center"/>
          </w:tcPr>
          <w:p w14:paraId="4AD7EAAF">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江苏裕华杜鹃种植有限公司</w:t>
            </w:r>
          </w:p>
        </w:tc>
        <w:tc>
          <w:tcPr>
            <w:tcW w:w="0" w:type="auto"/>
            <w:gridSpan w:val="2"/>
            <w:tcBorders>
              <w:tl2br w:val="nil"/>
              <w:tr2bl w:val="nil"/>
            </w:tcBorders>
            <w:noWrap w:val="0"/>
            <w:vAlign w:val="center"/>
          </w:tcPr>
          <w:p w14:paraId="057534BD">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标准示范推广</w:t>
            </w:r>
          </w:p>
        </w:tc>
      </w:tr>
      <w:tr w14:paraId="28EA6C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0" w:type="auto"/>
            <w:tcBorders>
              <w:tl2br w:val="nil"/>
              <w:tr2bl w:val="nil"/>
            </w:tcBorders>
            <w:noWrap w:val="0"/>
            <w:vAlign w:val="center"/>
          </w:tcPr>
          <w:p w14:paraId="50C93A2F">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祝遵凌</w:t>
            </w:r>
          </w:p>
        </w:tc>
        <w:tc>
          <w:tcPr>
            <w:tcW w:w="0" w:type="auto"/>
            <w:tcBorders>
              <w:tl2br w:val="nil"/>
              <w:tr2bl w:val="nil"/>
            </w:tcBorders>
            <w:noWrap w:val="0"/>
            <w:vAlign w:val="center"/>
          </w:tcPr>
          <w:p w14:paraId="0A1FF391">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教授</w:t>
            </w:r>
          </w:p>
        </w:tc>
        <w:tc>
          <w:tcPr>
            <w:tcW w:w="0" w:type="auto"/>
            <w:tcBorders>
              <w:tl2br w:val="nil"/>
              <w:tr2bl w:val="nil"/>
            </w:tcBorders>
            <w:noWrap w:val="0"/>
            <w:vAlign w:val="center"/>
          </w:tcPr>
          <w:p w14:paraId="118AA869">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园林植物</w:t>
            </w:r>
          </w:p>
        </w:tc>
        <w:tc>
          <w:tcPr>
            <w:tcW w:w="0" w:type="auto"/>
            <w:gridSpan w:val="2"/>
            <w:tcBorders>
              <w:tl2br w:val="nil"/>
              <w:tr2bl w:val="nil"/>
            </w:tcBorders>
            <w:noWrap w:val="0"/>
            <w:vAlign w:val="center"/>
          </w:tcPr>
          <w:p w14:paraId="2AEB4E4B">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南京林业大学</w:t>
            </w:r>
          </w:p>
        </w:tc>
        <w:tc>
          <w:tcPr>
            <w:tcW w:w="0" w:type="auto"/>
            <w:gridSpan w:val="2"/>
            <w:tcBorders>
              <w:tl2br w:val="nil"/>
              <w:tr2bl w:val="nil"/>
            </w:tcBorders>
            <w:noWrap w:val="0"/>
            <w:vAlign w:val="center"/>
          </w:tcPr>
          <w:p w14:paraId="4B236D37">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繁育技术</w:t>
            </w:r>
          </w:p>
        </w:tc>
      </w:tr>
      <w:tr w14:paraId="25038C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9" w:hRule="atLeast"/>
          <w:jc w:val="center"/>
        </w:trPr>
        <w:tc>
          <w:tcPr>
            <w:tcW w:w="0" w:type="auto"/>
            <w:tcBorders>
              <w:tl2br w:val="nil"/>
              <w:tr2bl w:val="nil"/>
            </w:tcBorders>
            <w:noWrap w:val="0"/>
            <w:vAlign w:val="center"/>
          </w:tcPr>
          <w:p w14:paraId="57B2CC10">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孙静</w:t>
            </w:r>
          </w:p>
        </w:tc>
        <w:tc>
          <w:tcPr>
            <w:tcW w:w="0" w:type="auto"/>
            <w:tcBorders>
              <w:tl2br w:val="nil"/>
              <w:tr2bl w:val="nil"/>
            </w:tcBorders>
            <w:noWrap w:val="0"/>
            <w:vAlign w:val="center"/>
          </w:tcPr>
          <w:p w14:paraId="60F6946B">
            <w:pPr>
              <w:spacing w:line="240" w:lineRule="auto"/>
              <w:jc w:val="center"/>
              <w:rPr>
                <w:rFonts w:hint="default" w:ascii="Times New Roman" w:hAnsi="Times New Roman" w:eastAsia="宋体" w:cs="Times New Roman"/>
                <w:spacing w:val="-20"/>
                <w:sz w:val="21"/>
                <w:szCs w:val="21"/>
                <w:lang w:val="en-US" w:eastAsia="zh-CN"/>
              </w:rPr>
            </w:pPr>
            <w:r>
              <w:rPr>
                <w:rFonts w:hint="eastAsia" w:ascii="Times New Roman" w:hAnsi="Times New Roman" w:eastAsia="宋体" w:cs="Times New Roman"/>
                <w:spacing w:val="-20"/>
                <w:sz w:val="21"/>
                <w:szCs w:val="21"/>
                <w:lang w:val="en-US" w:eastAsia="zh-CN"/>
              </w:rPr>
              <w:t>—</w:t>
            </w:r>
          </w:p>
        </w:tc>
        <w:tc>
          <w:tcPr>
            <w:tcW w:w="0" w:type="auto"/>
            <w:tcBorders>
              <w:tl2br w:val="nil"/>
              <w:tr2bl w:val="nil"/>
            </w:tcBorders>
            <w:noWrap w:val="0"/>
            <w:vAlign w:val="center"/>
          </w:tcPr>
          <w:p w14:paraId="39B7A3AA">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杜鹃花栽培繁殖</w:t>
            </w:r>
          </w:p>
        </w:tc>
        <w:tc>
          <w:tcPr>
            <w:tcW w:w="0" w:type="auto"/>
            <w:gridSpan w:val="2"/>
            <w:tcBorders>
              <w:tl2br w:val="nil"/>
              <w:tr2bl w:val="nil"/>
            </w:tcBorders>
            <w:noWrap w:val="0"/>
            <w:vAlign w:val="center"/>
          </w:tcPr>
          <w:p w14:paraId="095DED1B">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江苏裕华杜鹃种植有限公司</w:t>
            </w:r>
          </w:p>
        </w:tc>
        <w:tc>
          <w:tcPr>
            <w:tcW w:w="0" w:type="auto"/>
            <w:gridSpan w:val="2"/>
            <w:tcBorders>
              <w:tl2br w:val="nil"/>
              <w:tr2bl w:val="nil"/>
            </w:tcBorders>
            <w:noWrap w:val="0"/>
            <w:vAlign w:val="center"/>
          </w:tcPr>
          <w:p w14:paraId="316DADC6">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生产管理</w:t>
            </w:r>
          </w:p>
        </w:tc>
      </w:tr>
      <w:tr w14:paraId="236A60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7" w:hRule="atLeast"/>
          <w:jc w:val="center"/>
        </w:trPr>
        <w:tc>
          <w:tcPr>
            <w:tcW w:w="0" w:type="auto"/>
            <w:tcBorders>
              <w:tl2br w:val="nil"/>
              <w:tr2bl w:val="nil"/>
            </w:tcBorders>
            <w:noWrap w:val="0"/>
            <w:vAlign w:val="center"/>
          </w:tcPr>
          <w:p w14:paraId="6522204D">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圣倩倩</w:t>
            </w:r>
          </w:p>
        </w:tc>
        <w:tc>
          <w:tcPr>
            <w:tcW w:w="0" w:type="auto"/>
            <w:tcBorders>
              <w:tl2br w:val="nil"/>
              <w:tr2bl w:val="nil"/>
            </w:tcBorders>
            <w:noWrap w:val="0"/>
            <w:vAlign w:val="center"/>
          </w:tcPr>
          <w:p w14:paraId="05D75856">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副教授</w:t>
            </w:r>
          </w:p>
        </w:tc>
        <w:tc>
          <w:tcPr>
            <w:tcW w:w="0" w:type="auto"/>
            <w:tcBorders>
              <w:tl2br w:val="nil"/>
              <w:tr2bl w:val="nil"/>
            </w:tcBorders>
            <w:noWrap w:val="0"/>
            <w:vAlign w:val="center"/>
          </w:tcPr>
          <w:p w14:paraId="2F6DA3D3">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园林植物</w:t>
            </w:r>
          </w:p>
        </w:tc>
        <w:tc>
          <w:tcPr>
            <w:tcW w:w="0" w:type="auto"/>
            <w:gridSpan w:val="2"/>
            <w:tcBorders>
              <w:tl2br w:val="nil"/>
              <w:tr2bl w:val="nil"/>
            </w:tcBorders>
            <w:noWrap w:val="0"/>
            <w:vAlign w:val="center"/>
          </w:tcPr>
          <w:p w14:paraId="0EC51E95">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南京林业大学</w:t>
            </w:r>
          </w:p>
        </w:tc>
        <w:tc>
          <w:tcPr>
            <w:tcW w:w="0" w:type="auto"/>
            <w:gridSpan w:val="2"/>
            <w:tcBorders>
              <w:tl2br w:val="nil"/>
              <w:tr2bl w:val="nil"/>
            </w:tcBorders>
            <w:noWrap w:val="0"/>
            <w:vAlign w:val="center"/>
          </w:tcPr>
          <w:p w14:paraId="5C2AA055">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标准草案</w:t>
            </w:r>
          </w:p>
        </w:tc>
      </w:tr>
      <w:tr w14:paraId="235F7F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0" w:type="auto"/>
            <w:tcBorders>
              <w:tl2br w:val="nil"/>
              <w:tr2bl w:val="nil"/>
            </w:tcBorders>
            <w:noWrap w:val="0"/>
            <w:vAlign w:val="center"/>
          </w:tcPr>
          <w:p w14:paraId="38589597">
            <w:pPr>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曾凡玉</w:t>
            </w:r>
          </w:p>
        </w:tc>
        <w:tc>
          <w:tcPr>
            <w:tcW w:w="0" w:type="auto"/>
            <w:tcBorders>
              <w:tl2br w:val="nil"/>
              <w:tr2bl w:val="nil"/>
            </w:tcBorders>
            <w:noWrap w:val="0"/>
            <w:vAlign w:val="center"/>
          </w:tcPr>
          <w:p w14:paraId="5ED6A062">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研究生</w:t>
            </w:r>
          </w:p>
        </w:tc>
        <w:tc>
          <w:tcPr>
            <w:tcW w:w="0" w:type="auto"/>
            <w:tcBorders>
              <w:tl2br w:val="nil"/>
              <w:tr2bl w:val="nil"/>
            </w:tcBorders>
            <w:noWrap w:val="0"/>
            <w:vAlign w:val="center"/>
          </w:tcPr>
          <w:p w14:paraId="3749570D">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园林植物</w:t>
            </w:r>
          </w:p>
        </w:tc>
        <w:tc>
          <w:tcPr>
            <w:tcW w:w="0" w:type="auto"/>
            <w:gridSpan w:val="2"/>
            <w:tcBorders>
              <w:tl2br w:val="nil"/>
              <w:tr2bl w:val="nil"/>
            </w:tcBorders>
            <w:noWrap w:val="0"/>
            <w:vAlign w:val="center"/>
          </w:tcPr>
          <w:p w14:paraId="1045E56A">
            <w:pPr>
              <w:spacing w:line="240" w:lineRule="auto"/>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南京林业大学</w:t>
            </w:r>
          </w:p>
        </w:tc>
        <w:tc>
          <w:tcPr>
            <w:tcW w:w="0" w:type="auto"/>
            <w:gridSpan w:val="2"/>
            <w:tcBorders>
              <w:tl2br w:val="nil"/>
              <w:tr2bl w:val="nil"/>
            </w:tcBorders>
            <w:noWrap w:val="0"/>
            <w:vAlign w:val="center"/>
          </w:tcPr>
          <w:p w14:paraId="0F66AE60">
            <w:pPr>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标准草案</w:t>
            </w:r>
          </w:p>
        </w:tc>
      </w:tr>
    </w:tbl>
    <w:p w14:paraId="6FFE05E9">
      <w:pPr>
        <w:spacing w:line="360" w:lineRule="auto"/>
        <w:rPr>
          <w:rFonts w:hint="eastAsia" w:ascii="宋体" w:hAnsi="宋体" w:eastAsia="宋体" w:cs="宋体"/>
          <w:sz w:val="24"/>
          <w:szCs w:val="24"/>
          <w:lang w:val="en-US" w:eastAsia="zh-CN"/>
        </w:rPr>
      </w:pPr>
    </w:p>
    <w:sectPr>
      <w:footerReference r:id="rId3" w:type="default"/>
      <w:pgSz w:w="11906" w:h="16838"/>
      <w:pgMar w:top="1440" w:right="1701" w:bottom="1440" w:left="1701" w:header="851" w:footer="992" w:gutter="0"/>
      <w:pgBorders>
        <w:top w:val="none" w:sz="0" w:space="0"/>
        <w:left w:val="none" w:sz="0" w:space="0"/>
        <w:bottom w:val="none" w:sz="0" w:space="0"/>
        <w:right w:val="none" w:sz="0" w:space="0"/>
      </w:pgBorders>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3A7E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883A51">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6883A51">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B0D279"/>
    <w:multiLevelType w:val="multilevel"/>
    <w:tmpl w:val="BAB0D279"/>
    <w:lvl w:ilvl="0" w:tentative="0">
      <w:start w:val="1"/>
      <w:numFmt w:val="decimal"/>
      <w:suff w:val="nothing"/>
      <w:lvlText w:val="%1、"/>
      <w:lvlJc w:val="left"/>
      <w:pPr>
        <w:tabs>
          <w:tab w:val="left" w:pos="0"/>
        </w:tabs>
      </w:pPr>
      <w:rPr>
        <w:rFonts w:hint="default" w:ascii="黑体" w:hAnsi="黑体" w:eastAsia="黑体" w:cs="黑体"/>
      </w:r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F9E53DE2"/>
    <w:multiLevelType w:val="singleLevel"/>
    <w:tmpl w:val="F9E53DE2"/>
    <w:lvl w:ilvl="0" w:tentative="0">
      <w:start w:val="2"/>
      <w:numFmt w:val="decimal"/>
      <w:suff w:val="nothing"/>
      <w:lvlText w:val="%1、"/>
      <w:lvlJc w:val="left"/>
    </w:lvl>
  </w:abstractNum>
  <w:abstractNum w:abstractNumId="2">
    <w:nsid w:val="35E1C39F"/>
    <w:multiLevelType w:val="singleLevel"/>
    <w:tmpl w:val="35E1C39F"/>
    <w:lvl w:ilvl="0" w:tentative="0">
      <w:start w:val="3"/>
      <w:numFmt w:val="chineseCounting"/>
      <w:suff w:val="nothing"/>
      <w:lvlText w:val="%1、"/>
      <w:lvlJc w:val="left"/>
      <w:rPr>
        <w:rFonts w:hint="eastAsia"/>
      </w:r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3"/>
      <w:suff w:val="nothing"/>
      <w:lvlText w:val="%1%2　"/>
      <w:lvlJc w:val="left"/>
      <w:pPr>
        <w:ind w:left="0" w:firstLine="0"/>
      </w:pPr>
      <w:rPr>
        <w:rFonts w:hint="eastAsia" w:ascii="黑体" w:eastAsia="黑体"/>
        <w:b w:val="0"/>
        <w:i w:val="0"/>
        <w:sz w:val="21"/>
      </w:rPr>
    </w:lvl>
    <w:lvl w:ilvl="2" w:tentative="0">
      <w:start w:val="1"/>
      <w:numFmt w:val="decimal"/>
      <w:pStyle w:val="1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1134" w:firstLine="0"/>
      </w:pPr>
      <w:rPr>
        <w:rFonts w:hint="eastAsia" w:ascii="黑体" w:eastAsia="黑体"/>
        <w:b w:val="0"/>
        <w:i w:val="0"/>
        <w:sz w:val="21"/>
      </w:rPr>
    </w:lvl>
    <w:lvl w:ilvl="4" w:tentative="0">
      <w:start w:val="1"/>
      <w:numFmt w:val="decimal"/>
      <w:suff w:val="nothing"/>
      <w:lvlText w:val="%1%2.%3.%4.%5　"/>
      <w:lvlJc w:val="left"/>
      <w:pPr>
        <w:ind w:left="709"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74B1B080"/>
    <w:multiLevelType w:val="singleLevel"/>
    <w:tmpl w:val="74B1B080"/>
    <w:lvl w:ilvl="0" w:tentative="0">
      <w:start w:val="3"/>
      <w:numFmt w:val="decimal"/>
      <w:suff w:val="nothing"/>
      <w:lvlText w:val="%1、"/>
      <w:lvlJc w:val="left"/>
      <w:rPr>
        <w:rFonts w:hint="default" w:ascii="黑体" w:hAnsi="黑体" w:eastAsia="黑体" w:cs="黑体"/>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iMTA3MTc0NTFmZmJjMjY4ZDQzYWUwYjI4ODFkY2IifQ=="/>
  </w:docVars>
  <w:rsids>
    <w:rsidRoot w:val="00172A27"/>
    <w:rsid w:val="033834C2"/>
    <w:rsid w:val="07835682"/>
    <w:rsid w:val="078801B7"/>
    <w:rsid w:val="0896666F"/>
    <w:rsid w:val="0E1029B7"/>
    <w:rsid w:val="0EE80769"/>
    <w:rsid w:val="0FA40E99"/>
    <w:rsid w:val="10C06C14"/>
    <w:rsid w:val="11972BC2"/>
    <w:rsid w:val="16F94C2D"/>
    <w:rsid w:val="177D525A"/>
    <w:rsid w:val="1AE35FDC"/>
    <w:rsid w:val="20B6593D"/>
    <w:rsid w:val="23956D5A"/>
    <w:rsid w:val="27125EA9"/>
    <w:rsid w:val="277E513D"/>
    <w:rsid w:val="29D37957"/>
    <w:rsid w:val="2C1874AC"/>
    <w:rsid w:val="315E0057"/>
    <w:rsid w:val="32A1377B"/>
    <w:rsid w:val="34486AA0"/>
    <w:rsid w:val="350570A7"/>
    <w:rsid w:val="36533F02"/>
    <w:rsid w:val="3A10156B"/>
    <w:rsid w:val="3D4C16AB"/>
    <w:rsid w:val="3DD65501"/>
    <w:rsid w:val="5AA32512"/>
    <w:rsid w:val="5F4C2735"/>
    <w:rsid w:val="6008100A"/>
    <w:rsid w:val="64EB323B"/>
    <w:rsid w:val="650914D3"/>
    <w:rsid w:val="6A1F3F21"/>
    <w:rsid w:val="6C112BBA"/>
    <w:rsid w:val="743106D8"/>
    <w:rsid w:val="769772DE"/>
    <w:rsid w:val="77A05C77"/>
    <w:rsid w:val="78BF7A25"/>
    <w:rsid w:val="7AB14320"/>
    <w:rsid w:val="7C3557B3"/>
    <w:rsid w:val="7C8054FD"/>
    <w:rsid w:val="7F80712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1" w:name="heading 2"/>
    <w:lsdException w:qFormat="1" w:uiPriority="1" w:name="heading 3"/>
    <w:lsdException w:qFormat="1" w:uiPriority="1" w:name="heading 4"/>
    <w:lsdException w:qFormat="1" w:uiPriority="1" w:name="heading 5"/>
    <w:lsdException w:qFormat="1" w:uiPriority="1" w:name="heading 6"/>
    <w:lsdException w:qFormat="1" w:uiPriority="1" w:name="heading 7"/>
    <w:lsdException w:qFormat="1" w:uiPriority="1" w:name="heading 8"/>
    <w:lsdException w:qFormat="1" w:uiPriority="1" w:name="heading 9"/>
    <w:lsdException w:uiPriority="1" w:name="index 1"/>
    <w:lsdException w:uiPriority="1" w:name="index 2"/>
    <w:lsdException w:uiPriority="1" w:name="index 3"/>
    <w:lsdException w:uiPriority="1" w:name="index 4"/>
    <w:lsdException w:uiPriority="1" w:name="index 5"/>
    <w:lsdException w:uiPriority="1" w:name="index 6"/>
    <w:lsdException w:uiPriority="1" w:name="index 7"/>
    <w:lsdException w:uiPriority="1" w:name="index 8"/>
    <w:lsdException w:uiPriority="1" w:name="index 9"/>
    <w:lsdException w:uiPriority="1" w:name="toc 1"/>
    <w:lsdException w:uiPriority="1" w:name="toc 2"/>
    <w:lsdException w:uiPriority="1" w:name="toc 3"/>
    <w:lsdException w:uiPriority="1" w:name="toc 4"/>
    <w:lsdException w:uiPriority="1" w:name="toc 5"/>
    <w:lsdException w:uiPriority="1" w:name="toc 6"/>
    <w:lsdException w:uiPriority="1" w:name="toc 7"/>
    <w:lsdException w:uiPriority="1" w:name="toc 8"/>
    <w:lsdException w:uiPriority="1" w:name="toc 9"/>
    <w:lsdException w:uiPriority="1" w:name="Normal Indent"/>
    <w:lsdException w:uiPriority="1" w:name="footnote text"/>
    <w:lsdException w:uiPriority="1" w:name="annotation text"/>
    <w:lsdException w:qFormat="1" w:uiPriority="99" w:semiHidden="0" w:name="header"/>
    <w:lsdException w:qFormat="1" w:uiPriority="99" w:semiHidden="0" w:name="footer"/>
    <w:lsdException w:uiPriority="1" w:name="index heading"/>
    <w:lsdException w:qFormat="1" w:uiPriority="35" w:semiHidden="0" w:name="caption"/>
    <w:lsdException w:uiPriority="1" w:name="table of figures"/>
    <w:lsdException w:uiPriority="1" w:name="envelope address"/>
    <w:lsdException w:uiPriority="1" w:name="envelope return"/>
    <w:lsdException w:uiPriority="1" w:name="footnote reference"/>
    <w:lsdException w:uiPriority="1" w:name="annotation reference"/>
    <w:lsdException w:uiPriority="1" w:name="line number"/>
    <w:lsdException w:uiPriority="1" w:name="page number"/>
    <w:lsdException w:uiPriority="1" w:name="endnote reference"/>
    <w:lsdException w:uiPriority="1" w:name="endnote text"/>
    <w:lsdException w:uiPriority="1" w:name="table of authorities"/>
    <w:lsdException w:uiPriority="1" w:name="macro"/>
    <w:lsdException w:uiPriority="1" w:name="toa heading"/>
    <w:lsdException w:uiPriority="1" w:name="List"/>
    <w:lsdException w:uiPriority="1" w:name="List Bullet"/>
    <w:lsdException w:uiPriority="1" w:name="List Number"/>
    <w:lsdException w:uiPriority="1" w:name="List 2"/>
    <w:lsdException w:uiPriority="1" w:name="List 3"/>
    <w:lsdException w:uiPriority="1" w:name="List 4"/>
    <w:lsdException w:uiPriority="1" w:name="List 5"/>
    <w:lsdException w:uiPriority="1" w:name="List Bullet 2"/>
    <w:lsdException w:uiPriority="1" w:name="List Bullet 3"/>
    <w:lsdException w:uiPriority="1" w:name="List Bullet 4"/>
    <w:lsdException w:uiPriority="1" w:name="List Bullet 5"/>
    <w:lsdException w:uiPriority="1" w:name="List Number 2"/>
    <w:lsdException w:uiPriority="1" w:name="List Number 3"/>
    <w:lsdException w:uiPriority="1" w:name="List Number 4"/>
    <w:lsdException w:uiPriority="1" w:name="List Number 5"/>
    <w:lsdException w:qFormat="1" w:unhideWhenUsed="0" w:uiPriority="1" w:semiHidden="0" w:name="Title"/>
    <w:lsdException w:uiPriority="1" w:name="Closing"/>
    <w:lsdException w:uiPriority="1" w:name="Signature"/>
    <w:lsdException w:qFormat="1" w:uiPriority="1" w:semiHidden="0" w:name="Default Paragraph Font"/>
    <w:lsdException w:uiPriority="1" w:name="Body Text"/>
    <w:lsdException w:qFormat="1" w:unhideWhenUsed="0" w:uiPriority="0" w:semiHidden="0" w:name="Body Text Indent"/>
    <w:lsdException w:uiPriority="1" w:name="List Continue"/>
    <w:lsdException w:uiPriority="1" w:name="List Continue 2"/>
    <w:lsdException w:uiPriority="1" w:name="List Continue 3"/>
    <w:lsdException w:uiPriority="1" w:name="List Continue 4"/>
    <w:lsdException w:uiPriority="1" w:name="List Continue 5"/>
    <w:lsdException w:uiPriority="1" w:name="Message Header"/>
    <w:lsdException w:qFormat="1" w:unhideWhenUsed="0" w:uiPriority="1" w:semiHidden="0" w:name="Subtitle"/>
    <w:lsdException w:uiPriority="1" w:name="Salutation"/>
    <w:lsdException w:uiPriority="1" w:name="Date"/>
    <w:lsdException w:uiPriority="1" w:name="Body Text First Indent"/>
    <w:lsdException w:uiPriority="1" w:name="Body Text First Indent 2"/>
    <w:lsdException w:uiPriority="1" w:name="Note Heading"/>
    <w:lsdException w:uiPriority="1" w:name="Body Text 2"/>
    <w:lsdException w:uiPriority="1" w:name="Body Text 3"/>
    <w:lsdException w:uiPriority="1" w:name="Body Text Indent 2"/>
    <w:lsdException w:uiPriority="1" w:name="Body Text Indent 3"/>
    <w:lsdException w:uiPriority="1" w:name="Block Text"/>
    <w:lsdException w:uiPriority="1" w:name="Hyperlink"/>
    <w:lsdException w:uiPriority="1" w:name="FollowedHyperlink"/>
    <w:lsdException w:qFormat="1" w:unhideWhenUsed="0" w:uiPriority="1" w:semiHidden="0" w:name="Strong"/>
    <w:lsdException w:qFormat="1" w:unhideWhenUsed="0" w:uiPriority="1" w:semiHidden="0" w:name="Emphasis"/>
    <w:lsdException w:uiPriority="1" w:name="Document Map"/>
    <w:lsdException w:uiPriority="1" w:name="Plain Text"/>
    <w:lsdException w:uiPriority="1" w:name="E-mail Signature"/>
    <w:lsdException w:uiPriority="1" w:name="Normal (Web)"/>
    <w:lsdException w:uiPriority="1" w:name="HTML Acronym"/>
    <w:lsdException w:uiPriority="1" w:name="HTML Address"/>
    <w:lsdException w:uiPriority="1" w:name="HTML Cite"/>
    <w:lsdException w:uiPriority="1" w:name="HTML Code"/>
    <w:lsdException w:uiPriority="1" w:name="HTML Definition"/>
    <w:lsdException w:uiPriority="1" w:name="HTML Keyboard"/>
    <w:lsdException w:uiPriority="1" w:name="HTML Preformatted"/>
    <w:lsdException w:uiPriority="1" w:name="HTML Sample"/>
    <w:lsdException w:uiPriority="1" w:name="HTML Typewriter"/>
    <w:lsdException w:uiPriority="1" w:name="HTML Variable"/>
    <w:lsdException w:qFormat="1" w:uiPriority="99" w:semiHidden="0" w:name="Normal Table"/>
    <w:lsdException w:uiPriority="1" w:name="annotation subject"/>
    <w:lsdException w:uiPriority="1" w:name="Table Simple 1"/>
    <w:lsdException w:uiPriority="1" w:name="Table Simple 2"/>
    <w:lsdException w:uiPriority="1" w:name="Table Simple 3"/>
    <w:lsdException w:uiPriority="1" w:name="Table Classic 1"/>
    <w:lsdException w:uiPriority="1" w:name="Table Classic 2"/>
    <w:lsdException w:uiPriority="1" w:name="Table Classic 3"/>
    <w:lsdException w:uiPriority="1" w:name="Table Classic 4"/>
    <w:lsdException w:uiPriority="1" w:name="Table Colorful 1"/>
    <w:lsdException w:uiPriority="1" w:name="Table Colorful 2"/>
    <w:lsdException w:uiPriority="1" w:name="Table Colorful 3"/>
    <w:lsdException w:uiPriority="1" w:name="Table Columns 1"/>
    <w:lsdException w:uiPriority="1" w:name="Table Columns 2"/>
    <w:lsdException w:uiPriority="1" w:name="Table Columns 3"/>
    <w:lsdException w:uiPriority="1" w:name="Table Columns 4"/>
    <w:lsdException w:uiPriority="1" w:name="Table Columns 5"/>
    <w:lsdException w:uiPriority="1" w:name="Table Grid 1"/>
    <w:lsdException w:uiPriority="1" w:name="Table Grid 2"/>
    <w:lsdException w:uiPriority="1" w:name="Table Grid 3"/>
    <w:lsdException w:uiPriority="1" w:name="Table Grid 4"/>
    <w:lsdException w:uiPriority="1" w:name="Table Grid 5"/>
    <w:lsdException w:uiPriority="1" w:name="Table Grid 6"/>
    <w:lsdException w:uiPriority="1" w:name="Table Grid 7"/>
    <w:lsdException w:uiPriority="1" w:name="Table Grid 8"/>
    <w:lsdException w:uiPriority="1" w:name="Table List 1"/>
    <w:lsdException w:uiPriority="1" w:name="Table List 2"/>
    <w:lsdException w:uiPriority="1" w:name="Table List 3"/>
    <w:lsdException w:uiPriority="1" w:name="Table List 4"/>
    <w:lsdException w:uiPriority="1" w:name="Table List 5"/>
    <w:lsdException w:uiPriority="1" w:name="Table List 6"/>
    <w:lsdException w:uiPriority="1" w:name="Table List 7"/>
    <w:lsdException w:uiPriority="1" w:name="Table List 8"/>
    <w:lsdException w:uiPriority="1" w:name="Table 3D effects 1"/>
    <w:lsdException w:uiPriority="1" w:name="Table 3D effects 2"/>
    <w:lsdException w:uiPriority="1" w:name="Table 3D effects 3"/>
    <w:lsdException w:uiPriority="1" w:name="Table Contemporary"/>
    <w:lsdException w:uiPriority="1" w:name="Table Elegant"/>
    <w:lsdException w:uiPriority="1" w:name="Table Professional"/>
    <w:lsdException w:uiPriority="1" w:name="Table Subtle 1"/>
    <w:lsdException w:uiPriority="1" w:name="Table Subtle 2"/>
    <w:lsdException w:uiPriority="1" w:name="Table Web 1"/>
    <w:lsdException w:uiPriority="1" w:name="Table Web 2"/>
    <w:lsdException w:uiPriority="1" w:name="Table Web 3"/>
    <w:lsdException w:uiPriority="1" w:name="Balloon Text"/>
    <w:lsdException w:unhideWhenUsed="0" w:uiPriority="1" w:semiHidden="0" w:name="Table Grid"/>
    <w:lsdException w:uiPriority="1"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caption"/>
    <w:basedOn w:val="1"/>
    <w:next w:val="1"/>
    <w:unhideWhenUsed/>
    <w:qFormat/>
    <w:uiPriority w:val="35"/>
    <w:rPr>
      <w:rFonts w:ascii="Cambria" w:hAnsi="Cambria" w:eastAsia="黑体" w:cs="Times New Roman"/>
      <w:sz w:val="20"/>
      <w:szCs w:val="20"/>
    </w:rPr>
  </w:style>
  <w:style w:type="paragraph" w:styleId="3">
    <w:name w:val="Body Text Indent"/>
    <w:basedOn w:val="1"/>
    <w:qFormat/>
    <w:uiPriority w:val="0"/>
    <w:pPr>
      <w:spacing w:line="380" w:lineRule="exact"/>
      <w:ind w:firstLine="420"/>
    </w:pPr>
    <w:rPr>
      <w:rFonts w:ascii="宋体" w:hAnsi="宋体"/>
    </w:rPr>
  </w:style>
  <w:style w:type="paragraph" w:styleId="4">
    <w:name w:val="footer"/>
    <w:basedOn w:val="1"/>
    <w:link w:val="8"/>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脚 字符"/>
    <w:link w:val="4"/>
    <w:qFormat/>
    <w:uiPriority w:val="99"/>
    <w:rPr>
      <w:kern w:val="2"/>
      <w:sz w:val="18"/>
      <w:szCs w:val="18"/>
    </w:rPr>
  </w:style>
  <w:style w:type="character" w:customStyle="1" w:styleId="9">
    <w:name w:val="页眉 字符"/>
    <w:link w:val="5"/>
    <w:qFormat/>
    <w:uiPriority w:val="99"/>
    <w:rPr>
      <w:kern w:val="2"/>
      <w:sz w:val="18"/>
      <w:szCs w:val="18"/>
    </w:rPr>
  </w:style>
  <w:style w:type="paragraph" w:styleId="10">
    <w:name w:val="List Paragraph"/>
    <w:basedOn w:val="1"/>
    <w:qFormat/>
    <w:uiPriority w:val="0"/>
    <w:pPr>
      <w:ind w:firstLine="420" w:firstLineChars="200"/>
    </w:pPr>
  </w:style>
  <w:style w:type="paragraph" w:customStyle="1" w:styleId="11">
    <w:name w:val=" (文字) (文字)"/>
    <w:basedOn w:val="1"/>
    <w:qFormat/>
    <w:uiPriority w:val="0"/>
    <w:rPr>
      <w:rFonts w:ascii="仿宋_GB2312" w:hAnsi="Times New Roman" w:eastAsia="仿宋_GB2312"/>
      <w:b/>
      <w:sz w:val="32"/>
      <w:szCs w:val="32"/>
    </w:rPr>
  </w:style>
  <w:style w:type="paragraph" w:customStyle="1" w:styleId="12">
    <w:name w:val="标准文件_一级条标题"/>
    <w:basedOn w:val="13"/>
    <w:next w:val="14"/>
    <w:qFormat/>
    <w:uiPriority w:val="0"/>
    <w:pPr>
      <w:numPr>
        <w:ilvl w:val="2"/>
      </w:numPr>
      <w:spacing w:before="50" w:beforeLines="50" w:after="50" w:afterLines="50"/>
      <w:outlineLvl w:val="1"/>
    </w:pPr>
  </w:style>
  <w:style w:type="paragraph" w:customStyle="1" w:styleId="13">
    <w:name w:val="标准文件_章标题"/>
    <w:next w:val="14"/>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
    <w:name w:val="其他标准称谓"/>
    <w:qFormat/>
    <w:uiPriority w:val="0"/>
    <w:pPr>
      <w:spacing w:line="0" w:lineRule="atLeast"/>
      <w:jc w:val="distribute"/>
    </w:pPr>
    <w:rPr>
      <w:rFonts w:ascii="黑体" w:hAnsi="宋体" w:eastAsia="黑体" w:cs="Times New Roman"/>
      <w:sz w:val="5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4728</Words>
  <Characters>4973</Characters>
  <Lines>16</Lines>
  <Paragraphs>4</Paragraphs>
  <TotalTime>0</TotalTime>
  <ScaleCrop>false</ScaleCrop>
  <LinksUpToDate>false</LinksUpToDate>
  <CharactersWithSpaces>5001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2017-10-11T07:03:00Z</dcterms:created>
  <dc:creator>xujin</dc:creator>
  <cp:lastModifiedBy>只走花路的凡凡</cp:lastModifiedBy>
  <dcterms:modified xsi:type="dcterms:W3CDTF">2024-10-11T04:12:05Z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976F05C5B34F4F22B381AE567AF8D3C8_13</vt:lpwstr>
  </property>
</Properties>
</file>